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1BA46" w14:textId="7542CA6B" w:rsidR="000E6541" w:rsidRPr="004B5B83" w:rsidRDefault="00203468" w:rsidP="00865049">
      <w:pPr>
        <w:rPr>
          <w:rFonts w:ascii="Times New Roman" w:hAnsi="Times New Roman" w:cs="Times New Roman"/>
        </w:rPr>
      </w:pPr>
      <w:r w:rsidRPr="004B5B83">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4B68D09C" wp14:editId="6AD6503B">
                <wp:simplePos x="0" y="0"/>
                <wp:positionH relativeFrom="margin">
                  <wp:posOffset>-259080</wp:posOffset>
                </wp:positionH>
                <wp:positionV relativeFrom="paragraph">
                  <wp:posOffset>4836795</wp:posOffset>
                </wp:positionV>
                <wp:extent cx="4304030" cy="689610"/>
                <wp:effectExtent l="0" t="0" r="0" b="0"/>
                <wp:wrapSquare wrapText="bothSides"/>
                <wp:docPr id="1996399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689610"/>
                        </a:xfrm>
                        <a:prstGeom prst="rect">
                          <a:avLst/>
                        </a:prstGeom>
                        <a:noFill/>
                        <a:ln w="9525">
                          <a:noFill/>
                          <a:miter lim="800000"/>
                          <a:headEnd/>
                          <a:tailEnd/>
                        </a:ln>
                      </wps:spPr>
                      <wps:txbx>
                        <w:txbxContent>
                          <w:p w14:paraId="796EFC6C" w14:textId="1B602E64" w:rsidR="0054690F" w:rsidRPr="00123ECB" w:rsidRDefault="00D253C3" w:rsidP="0054690F">
                            <w:pPr>
                              <w:rPr>
                                <w:color w:val="007C94"/>
                                <w:spacing w:val="-5"/>
                                <w:sz w:val="56"/>
                                <w:szCs w:val="56"/>
                              </w:rPr>
                            </w:pPr>
                            <w:r>
                              <w:rPr>
                                <w:color w:val="007C94"/>
                                <w:spacing w:val="-5"/>
                                <w:sz w:val="56"/>
                                <w:szCs w:val="56"/>
                              </w:rPr>
                              <w:t>December 1</w:t>
                            </w:r>
                            <w:r w:rsidR="007A0D2A">
                              <w:rPr>
                                <w:color w:val="007C94"/>
                                <w:spacing w:val="-5"/>
                                <w:sz w:val="56"/>
                                <w:szCs w:val="56"/>
                              </w:rPr>
                              <w:t>8</w:t>
                            </w:r>
                            <w:r w:rsidR="00203468" w:rsidRPr="00123ECB">
                              <w:rPr>
                                <w:color w:val="007C94"/>
                                <w:spacing w:val="-5"/>
                                <w:sz w:val="56"/>
                                <w:szCs w:val="5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68D09C" id="_x0000_t202" coordsize="21600,21600" o:spt="202" path="m,l,21600r21600,l21600,xe">
                <v:stroke joinstyle="miter"/>
                <v:path gradientshapeok="t" o:connecttype="rect"/>
              </v:shapetype>
              <v:shape id="Text Box 2" o:spid="_x0000_s1026" type="#_x0000_t202" style="position:absolute;margin-left:-20.4pt;margin-top:380.85pt;width:338.9pt;height:54.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" filled="f" stroked="f">
                <v:textbox>
                  <w:txbxContent>
                    <w:p w14:paraId="796EFC6C" w14:textId="1B602E64" w:rsidR="0054690F" w:rsidRPr="00123ECB" w:rsidRDefault="00D253C3" w:rsidP="0054690F">
                      <w:pPr>
                        <w:rPr>
                          <w:color w:val="007C94"/>
                          <w:spacing w:val="-5"/>
                          <w:sz w:val="56"/>
                          <w:szCs w:val="56"/>
                        </w:rPr>
                      </w:pPr>
                      <w:r>
                        <w:rPr>
                          <w:color w:val="007C94"/>
                          <w:spacing w:val="-5"/>
                          <w:sz w:val="56"/>
                          <w:szCs w:val="56"/>
                        </w:rPr>
                        <w:t>December 1</w:t>
                      </w:r>
                      <w:r w:rsidR="007A0D2A">
                        <w:rPr>
                          <w:color w:val="007C94"/>
                          <w:spacing w:val="-5"/>
                          <w:sz w:val="56"/>
                          <w:szCs w:val="56"/>
                        </w:rPr>
                        <w:t>8</w:t>
                      </w:r>
                      <w:r w:rsidR="00203468" w:rsidRPr="00123ECB">
                        <w:rPr>
                          <w:color w:val="007C94"/>
                          <w:spacing w:val="-5"/>
                          <w:sz w:val="56"/>
                          <w:szCs w:val="56"/>
                        </w:rPr>
                        <w:t>, 2025</w:t>
                      </w:r>
                    </w:p>
                  </w:txbxContent>
                </v:textbox>
                <w10:wrap type="square" anchorx="margin"/>
              </v:shape>
            </w:pict>
          </mc:Fallback>
        </mc:AlternateContent>
      </w:r>
      <w:r w:rsidR="0054690F" w:rsidRPr="004B5B83">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3B55DFF9" wp14:editId="384826BA">
                <wp:simplePos x="0" y="0"/>
                <wp:positionH relativeFrom="margin">
                  <wp:posOffset>-274967</wp:posOffset>
                </wp:positionH>
                <wp:positionV relativeFrom="paragraph">
                  <wp:posOffset>1752755</wp:posOffset>
                </wp:positionV>
                <wp:extent cx="4857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4620"/>
                        </a:xfrm>
                        <a:prstGeom prst="rect">
                          <a:avLst/>
                        </a:prstGeom>
                        <a:noFill/>
                        <a:ln w="9525">
                          <a:noFill/>
                          <a:miter lim="800000"/>
                          <a:headEnd/>
                          <a:tailEnd/>
                        </a:ln>
                      </wps:spPr>
                      <wps:txbx>
                        <w:txbxContent>
                          <w:p w14:paraId="2909F7D5" w14:textId="193B4623" w:rsidR="0054690F" w:rsidRPr="00203468" w:rsidRDefault="00277E84" w:rsidP="0054690F">
                            <w:pPr>
                              <w:pStyle w:val="Titolo"/>
                              <w:jc w:val="left"/>
                              <w:rPr>
                                <w:rFonts w:ascii="Arial Black" w:hAnsi="Arial Black"/>
                                <w:color w:val="007C94"/>
                                <w:spacing w:val="-5"/>
                                <w:sz w:val="72"/>
                                <w:szCs w:val="72"/>
                                <w:lang w:val="en-US"/>
                              </w:rPr>
                            </w:pPr>
                            <w:r w:rsidRPr="00203468">
                              <w:rPr>
                                <w:rFonts w:ascii="Arial Black" w:hAnsi="Arial Black"/>
                                <w:color w:val="007C94"/>
                                <w:spacing w:val="-5"/>
                                <w:sz w:val="72"/>
                                <w:szCs w:val="72"/>
                                <w:lang w:val="en-US"/>
                              </w:rPr>
                              <w:t xml:space="preserve">Judgment of the General Court </w:t>
                            </w:r>
                            <w:r w:rsidR="00683807" w:rsidRPr="00203468">
                              <w:rPr>
                                <w:rFonts w:ascii="Arial Black" w:hAnsi="Arial Black"/>
                                <w:color w:val="007C94"/>
                                <w:spacing w:val="-5"/>
                                <w:sz w:val="72"/>
                                <w:szCs w:val="72"/>
                                <w:lang w:val="en-US"/>
                              </w:rPr>
                              <w:t>in Case</w:t>
                            </w:r>
                            <w:r w:rsidR="00C63017">
                              <w:rPr>
                                <w:rFonts w:ascii="Arial Black" w:hAnsi="Arial Black"/>
                                <w:color w:val="007C94"/>
                                <w:spacing w:val="-5"/>
                                <w:sz w:val="72"/>
                                <w:szCs w:val="72"/>
                                <w:lang w:val="en-US"/>
                              </w:rPr>
                              <w:t>s</w:t>
                            </w:r>
                            <w:r w:rsidR="00683807" w:rsidRPr="00203468">
                              <w:rPr>
                                <w:rFonts w:ascii="Arial Black" w:hAnsi="Arial Black"/>
                                <w:color w:val="007C94"/>
                                <w:spacing w:val="-5"/>
                                <w:sz w:val="72"/>
                                <w:szCs w:val="72"/>
                                <w:lang w:val="en-US"/>
                              </w:rPr>
                              <w:t xml:space="preserve"> T-</w:t>
                            </w:r>
                            <w:r w:rsidR="00C63017">
                              <w:rPr>
                                <w:rFonts w:ascii="Arial Black" w:hAnsi="Arial Black"/>
                                <w:color w:val="007C94"/>
                                <w:spacing w:val="-5"/>
                                <w:sz w:val="72"/>
                                <w:szCs w:val="72"/>
                                <w:lang w:val="en-US"/>
                              </w:rPr>
                              <w:t>600</w:t>
                            </w:r>
                            <w:r w:rsidR="00683807" w:rsidRPr="00203468">
                              <w:rPr>
                                <w:rFonts w:ascii="Arial Black" w:hAnsi="Arial Black"/>
                                <w:color w:val="007C94"/>
                                <w:spacing w:val="-5"/>
                                <w:sz w:val="72"/>
                                <w:szCs w:val="72"/>
                                <w:lang w:val="en-US"/>
                              </w:rPr>
                              <w:t>/2</w:t>
                            </w:r>
                            <w:r w:rsidR="00C63017">
                              <w:rPr>
                                <w:rFonts w:ascii="Arial Black" w:hAnsi="Arial Black"/>
                                <w:color w:val="007C94"/>
                                <w:spacing w:val="-5"/>
                                <w:sz w:val="72"/>
                                <w:szCs w:val="72"/>
                                <w:lang w:val="en-US"/>
                              </w:rPr>
                              <w:t>3</w:t>
                            </w:r>
                            <w:r w:rsidR="00203468" w:rsidRPr="00203468">
                              <w:rPr>
                                <w:rFonts w:ascii="Arial Black" w:hAnsi="Arial Black"/>
                                <w:color w:val="007C94"/>
                                <w:spacing w:val="-5"/>
                                <w:sz w:val="72"/>
                                <w:szCs w:val="72"/>
                                <w:lang w:val="en-US"/>
                              </w:rPr>
                              <w:t xml:space="preserve"> a</w:t>
                            </w:r>
                            <w:r w:rsidR="00203468">
                              <w:rPr>
                                <w:rFonts w:ascii="Arial Black" w:hAnsi="Arial Black"/>
                                <w:color w:val="007C94"/>
                                <w:spacing w:val="-5"/>
                                <w:sz w:val="72"/>
                                <w:szCs w:val="72"/>
                                <w:lang w:val="en-US"/>
                              </w:rPr>
                              <w:t>nd T-</w:t>
                            </w:r>
                            <w:r w:rsidR="00C63017">
                              <w:rPr>
                                <w:rFonts w:ascii="Arial Black" w:hAnsi="Arial Black"/>
                                <w:color w:val="007C94"/>
                                <w:spacing w:val="-5"/>
                                <w:sz w:val="72"/>
                                <w:szCs w:val="72"/>
                                <w:lang w:val="en-US"/>
                              </w:rPr>
                              <w:t>612</w:t>
                            </w:r>
                            <w:r w:rsidR="00203468">
                              <w:rPr>
                                <w:rFonts w:ascii="Arial Black" w:hAnsi="Arial Black"/>
                                <w:color w:val="007C94"/>
                                <w:spacing w:val="-5"/>
                                <w:sz w:val="72"/>
                                <w:szCs w:val="72"/>
                                <w:lang w:val="en-US"/>
                              </w:rPr>
                              <w:t>/2</w:t>
                            </w:r>
                            <w:r w:rsidR="00C63017">
                              <w:rPr>
                                <w:rFonts w:ascii="Arial Black" w:hAnsi="Arial Black"/>
                                <w:color w:val="007C94"/>
                                <w:spacing w:val="-5"/>
                                <w:sz w:val="72"/>
                                <w:szCs w:val="72"/>
                                <w:lang w:val="en-US"/>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5DFF9" id="_x0000_s1027" type="#_x0000_t202" style="position:absolute;margin-left:-21.65pt;margin-top:138pt;width:38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" filled="f" stroked="f">
                <v:textbox style="mso-fit-shape-to-text:t">
                  <w:txbxContent>
                    <w:p w14:paraId="2909F7D5" w14:textId="193B4623" w:rsidR="0054690F" w:rsidRPr="00203468" w:rsidRDefault="00277E84" w:rsidP="0054690F">
                      <w:pPr>
                        <w:pStyle w:val="Titolo"/>
                        <w:jc w:val="left"/>
                        <w:rPr>
                          <w:rFonts w:ascii="Arial Black" w:hAnsi="Arial Black"/>
                          <w:color w:val="007C94"/>
                          <w:spacing w:val="-5"/>
                          <w:sz w:val="72"/>
                          <w:szCs w:val="72"/>
                          <w:lang w:val="en-US"/>
                        </w:rPr>
                      </w:pPr>
                      <w:r w:rsidRPr="00203468">
                        <w:rPr>
                          <w:rFonts w:ascii="Arial Black" w:hAnsi="Arial Black"/>
                          <w:color w:val="007C94"/>
                          <w:spacing w:val="-5"/>
                          <w:sz w:val="72"/>
                          <w:szCs w:val="72"/>
                          <w:lang w:val="en-US"/>
                        </w:rPr>
                        <w:t xml:space="preserve">Judgment of the General Court </w:t>
                      </w:r>
                      <w:r w:rsidR="00683807" w:rsidRPr="00203468">
                        <w:rPr>
                          <w:rFonts w:ascii="Arial Black" w:hAnsi="Arial Black"/>
                          <w:color w:val="007C94"/>
                          <w:spacing w:val="-5"/>
                          <w:sz w:val="72"/>
                          <w:szCs w:val="72"/>
                          <w:lang w:val="en-US"/>
                        </w:rPr>
                        <w:t>in Case</w:t>
                      </w:r>
                      <w:r w:rsidR="00C63017">
                        <w:rPr>
                          <w:rFonts w:ascii="Arial Black" w:hAnsi="Arial Black"/>
                          <w:color w:val="007C94"/>
                          <w:spacing w:val="-5"/>
                          <w:sz w:val="72"/>
                          <w:szCs w:val="72"/>
                          <w:lang w:val="en-US"/>
                        </w:rPr>
                        <w:t>s</w:t>
                      </w:r>
                      <w:r w:rsidR="00683807" w:rsidRPr="00203468">
                        <w:rPr>
                          <w:rFonts w:ascii="Arial Black" w:hAnsi="Arial Black"/>
                          <w:color w:val="007C94"/>
                          <w:spacing w:val="-5"/>
                          <w:sz w:val="72"/>
                          <w:szCs w:val="72"/>
                          <w:lang w:val="en-US"/>
                        </w:rPr>
                        <w:t xml:space="preserve"> T-</w:t>
                      </w:r>
                      <w:r w:rsidR="00C63017">
                        <w:rPr>
                          <w:rFonts w:ascii="Arial Black" w:hAnsi="Arial Black"/>
                          <w:color w:val="007C94"/>
                          <w:spacing w:val="-5"/>
                          <w:sz w:val="72"/>
                          <w:szCs w:val="72"/>
                          <w:lang w:val="en-US"/>
                        </w:rPr>
                        <w:t>600</w:t>
                      </w:r>
                      <w:r w:rsidR="00683807" w:rsidRPr="00203468">
                        <w:rPr>
                          <w:rFonts w:ascii="Arial Black" w:hAnsi="Arial Black"/>
                          <w:color w:val="007C94"/>
                          <w:spacing w:val="-5"/>
                          <w:sz w:val="72"/>
                          <w:szCs w:val="72"/>
                          <w:lang w:val="en-US"/>
                        </w:rPr>
                        <w:t>/2</w:t>
                      </w:r>
                      <w:r w:rsidR="00C63017">
                        <w:rPr>
                          <w:rFonts w:ascii="Arial Black" w:hAnsi="Arial Black"/>
                          <w:color w:val="007C94"/>
                          <w:spacing w:val="-5"/>
                          <w:sz w:val="72"/>
                          <w:szCs w:val="72"/>
                          <w:lang w:val="en-US"/>
                        </w:rPr>
                        <w:t>3</w:t>
                      </w:r>
                      <w:r w:rsidR="00203468" w:rsidRPr="00203468">
                        <w:rPr>
                          <w:rFonts w:ascii="Arial Black" w:hAnsi="Arial Black"/>
                          <w:color w:val="007C94"/>
                          <w:spacing w:val="-5"/>
                          <w:sz w:val="72"/>
                          <w:szCs w:val="72"/>
                          <w:lang w:val="en-US"/>
                        </w:rPr>
                        <w:t xml:space="preserve"> a</w:t>
                      </w:r>
                      <w:r w:rsidR="00203468">
                        <w:rPr>
                          <w:rFonts w:ascii="Arial Black" w:hAnsi="Arial Black"/>
                          <w:color w:val="007C94"/>
                          <w:spacing w:val="-5"/>
                          <w:sz w:val="72"/>
                          <w:szCs w:val="72"/>
                          <w:lang w:val="en-US"/>
                        </w:rPr>
                        <w:t>nd T-</w:t>
                      </w:r>
                      <w:r w:rsidR="00C63017">
                        <w:rPr>
                          <w:rFonts w:ascii="Arial Black" w:hAnsi="Arial Black"/>
                          <w:color w:val="007C94"/>
                          <w:spacing w:val="-5"/>
                          <w:sz w:val="72"/>
                          <w:szCs w:val="72"/>
                          <w:lang w:val="en-US"/>
                        </w:rPr>
                        <w:t>612</w:t>
                      </w:r>
                      <w:r w:rsidR="00203468">
                        <w:rPr>
                          <w:rFonts w:ascii="Arial Black" w:hAnsi="Arial Black"/>
                          <w:color w:val="007C94"/>
                          <w:spacing w:val="-5"/>
                          <w:sz w:val="72"/>
                          <w:szCs w:val="72"/>
                          <w:lang w:val="en-US"/>
                        </w:rPr>
                        <w:t>/2</w:t>
                      </w:r>
                      <w:r w:rsidR="00C63017">
                        <w:rPr>
                          <w:rFonts w:ascii="Arial Black" w:hAnsi="Arial Black"/>
                          <w:color w:val="007C94"/>
                          <w:spacing w:val="-5"/>
                          <w:sz w:val="72"/>
                          <w:szCs w:val="72"/>
                          <w:lang w:val="en-US"/>
                        </w:rPr>
                        <w:t>3</w:t>
                      </w:r>
                    </w:p>
                  </w:txbxContent>
                </v:textbox>
                <w10:wrap type="square" anchorx="margin"/>
              </v:shape>
            </w:pict>
          </mc:Fallback>
        </mc:AlternateContent>
      </w:r>
      <w:r w:rsidR="00403A4C" w:rsidRPr="004B5B83">
        <w:rPr>
          <w:rFonts w:ascii="Times New Roman" w:hAnsi="Times New Roman" w:cs="Times New Roman"/>
        </w:rPr>
        <w:br w:type="page"/>
      </w:r>
    </w:p>
    <w:p w14:paraId="4573F63B" w14:textId="77777777" w:rsidR="007E4750" w:rsidRPr="004B5B83" w:rsidRDefault="007E4750">
      <w:pPr>
        <w:rPr>
          <w:rFonts w:ascii="Times New Roman" w:hAnsi="Times New Roman" w:cs="Times New Roman"/>
        </w:rPr>
        <w:sectPr w:rsidR="007E4750" w:rsidRPr="004B5B83" w:rsidSect="001C1B3F">
          <w:headerReference w:type="default" r:id="rId11"/>
          <w:footerReference w:type="default" r:id="rId12"/>
          <w:headerReference w:type="first" r:id="rId13"/>
          <w:type w:val="continuous"/>
          <w:pgSz w:w="11910" w:h="16840"/>
          <w:pgMar w:top="2410" w:right="1137" w:bottom="280" w:left="993" w:header="731" w:footer="1210" w:gutter="0"/>
          <w:cols w:space="720"/>
          <w:titlePg/>
          <w:docGrid w:linePitch="299"/>
        </w:sectPr>
      </w:pPr>
    </w:p>
    <w:p w14:paraId="1496FD57" w14:textId="0000C9A9" w:rsidR="00196CAD" w:rsidRDefault="00DD069F" w:rsidP="00C6005D">
      <w:pPr>
        <w:spacing w:before="120" w:after="240" w:line="276" w:lineRule="auto"/>
        <w:jc w:val="both"/>
        <w:rPr>
          <w:rFonts w:ascii="Times New Roman" w:hAnsi="Times New Roman" w:cs="Times New Roman"/>
          <w:b/>
          <w:bCs/>
          <w:color w:val="00758F"/>
          <w:sz w:val="24"/>
          <w:szCs w:val="24"/>
          <w:lang w:val="en-US"/>
        </w:rPr>
      </w:pPr>
      <w:r>
        <w:rPr>
          <w:rFonts w:ascii="Times New Roman" w:hAnsi="Times New Roman" w:cs="Times New Roman"/>
          <w:b/>
          <w:bCs/>
          <w:color w:val="00758F"/>
          <w:sz w:val="24"/>
          <w:szCs w:val="24"/>
          <w:lang w:val="en-US"/>
        </w:rPr>
        <w:lastRenderedPageBreak/>
        <w:t>Energy</w:t>
      </w:r>
      <w:r w:rsidR="00123ECB" w:rsidRPr="004B5B83">
        <w:rPr>
          <w:rFonts w:ascii="Times New Roman" w:hAnsi="Times New Roman" w:cs="Times New Roman"/>
          <w:b/>
          <w:bCs/>
          <w:color w:val="00758F"/>
          <w:sz w:val="24"/>
          <w:szCs w:val="24"/>
          <w:lang w:val="en-US"/>
        </w:rPr>
        <w:t xml:space="preserve">: the General Court annuls </w:t>
      </w:r>
      <w:r w:rsidR="009A42A0">
        <w:rPr>
          <w:rFonts w:ascii="Times New Roman" w:hAnsi="Times New Roman" w:cs="Times New Roman"/>
          <w:b/>
          <w:bCs/>
          <w:color w:val="00758F"/>
          <w:sz w:val="24"/>
          <w:szCs w:val="24"/>
          <w:lang w:val="en-US"/>
        </w:rPr>
        <w:t>ACER’s decision</w:t>
      </w:r>
      <w:r w:rsidR="00196CAD">
        <w:rPr>
          <w:rFonts w:ascii="Times New Roman" w:hAnsi="Times New Roman" w:cs="Times New Roman"/>
          <w:b/>
          <w:bCs/>
          <w:color w:val="00758F"/>
          <w:sz w:val="24"/>
          <w:szCs w:val="24"/>
          <w:lang w:val="en-US"/>
        </w:rPr>
        <w:t xml:space="preserve"> concerning the management of electricity markets</w:t>
      </w:r>
    </w:p>
    <w:p w14:paraId="6A90F7F4" w14:textId="58281413" w:rsidR="003D7542" w:rsidRPr="00555008" w:rsidRDefault="003D7542" w:rsidP="00C6005D">
      <w:pPr>
        <w:spacing w:before="120" w:after="240" w:line="276" w:lineRule="auto"/>
        <w:jc w:val="both"/>
        <w:rPr>
          <w:rFonts w:ascii="Times New Roman" w:hAnsi="Times New Roman" w:cs="Times New Roman"/>
          <w:b/>
          <w:bCs/>
          <w:color w:val="00758F"/>
          <w:sz w:val="24"/>
          <w:szCs w:val="24"/>
          <w:lang w:val="en-US"/>
        </w:rPr>
      </w:pPr>
      <w:r w:rsidRPr="00555008">
        <w:rPr>
          <w:rFonts w:ascii="Times New Roman" w:hAnsi="Times New Roman" w:cs="Times New Roman"/>
          <w:b/>
          <w:bCs/>
          <w:color w:val="00758F"/>
          <w:sz w:val="24"/>
          <w:szCs w:val="24"/>
          <w:lang w:val="en-US"/>
        </w:rPr>
        <w:t xml:space="preserve">The case: </w:t>
      </w:r>
    </w:p>
    <w:p w14:paraId="0E1D3CBA" w14:textId="1A68F3E9" w:rsidR="000D34C7" w:rsidRPr="00653EA7" w:rsidRDefault="00CF7F7A" w:rsidP="00C6005D">
      <w:pPr>
        <w:spacing w:before="120" w:after="240" w:line="276"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With its </w:t>
      </w:r>
      <w:r w:rsidR="00203468" w:rsidRPr="004B5B83">
        <w:rPr>
          <w:rFonts w:ascii="Times New Roman" w:hAnsi="Times New Roman" w:cs="Times New Roman"/>
          <w:color w:val="000000" w:themeColor="text1"/>
          <w:sz w:val="24"/>
          <w:szCs w:val="24"/>
          <w:lang w:val="en-US"/>
        </w:rPr>
        <w:t>judgement</w:t>
      </w:r>
      <w:r w:rsidR="009A42A0">
        <w:rPr>
          <w:rFonts w:ascii="Times New Roman" w:hAnsi="Times New Roman" w:cs="Times New Roman"/>
          <w:color w:val="000000" w:themeColor="text1"/>
          <w:sz w:val="24"/>
          <w:szCs w:val="24"/>
          <w:lang w:val="en-US"/>
        </w:rPr>
        <w:t xml:space="preserve"> </w:t>
      </w:r>
      <w:r w:rsidR="00A942C2">
        <w:rPr>
          <w:rFonts w:ascii="Times New Roman" w:hAnsi="Times New Roman" w:cs="Times New Roman"/>
          <w:color w:val="000000" w:themeColor="text1"/>
          <w:sz w:val="24"/>
          <w:szCs w:val="24"/>
          <w:lang w:val="en-US"/>
        </w:rPr>
        <w:t>in the</w:t>
      </w:r>
      <w:r>
        <w:rPr>
          <w:rFonts w:ascii="Times New Roman" w:hAnsi="Times New Roman" w:cs="Times New Roman"/>
          <w:color w:val="000000" w:themeColor="text1"/>
          <w:sz w:val="24"/>
          <w:szCs w:val="24"/>
          <w:lang w:val="en-US"/>
        </w:rPr>
        <w:t xml:space="preserve"> </w:t>
      </w:r>
      <w:r w:rsidR="005F138B">
        <w:rPr>
          <w:rFonts w:ascii="Times New Roman" w:hAnsi="Times New Roman" w:cs="Times New Roman"/>
          <w:color w:val="000000" w:themeColor="text1"/>
          <w:sz w:val="24"/>
          <w:szCs w:val="24"/>
          <w:lang w:val="en-US"/>
        </w:rPr>
        <w:t>join</w:t>
      </w:r>
      <w:r w:rsidR="00F66C58">
        <w:rPr>
          <w:rFonts w:ascii="Times New Roman" w:hAnsi="Times New Roman" w:cs="Times New Roman"/>
          <w:color w:val="000000" w:themeColor="text1"/>
          <w:sz w:val="24"/>
          <w:szCs w:val="24"/>
          <w:lang w:val="en-US"/>
        </w:rPr>
        <w:t>ed</w:t>
      </w:r>
      <w:r w:rsidR="005F138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cases </w:t>
      </w:r>
      <w:r w:rsidR="002D12D7" w:rsidRPr="004B5B83">
        <w:rPr>
          <w:rFonts w:ascii="Times New Roman" w:hAnsi="Times New Roman" w:cs="Times New Roman"/>
          <w:color w:val="000000" w:themeColor="text1"/>
          <w:sz w:val="24"/>
          <w:szCs w:val="24"/>
          <w:lang w:val="en-US"/>
        </w:rPr>
        <w:t>T-</w:t>
      </w:r>
      <w:r w:rsidR="00161329">
        <w:rPr>
          <w:rFonts w:ascii="Times New Roman" w:hAnsi="Times New Roman" w:cs="Times New Roman"/>
          <w:color w:val="000000" w:themeColor="text1"/>
          <w:sz w:val="24"/>
          <w:szCs w:val="24"/>
          <w:lang w:val="en-US"/>
        </w:rPr>
        <w:t>600</w:t>
      </w:r>
      <w:r w:rsidR="002D12D7" w:rsidRPr="004B5B83">
        <w:rPr>
          <w:rFonts w:ascii="Times New Roman" w:hAnsi="Times New Roman" w:cs="Times New Roman"/>
          <w:color w:val="000000" w:themeColor="text1"/>
          <w:sz w:val="24"/>
          <w:szCs w:val="24"/>
          <w:lang w:val="en-US"/>
        </w:rPr>
        <w:t>/2</w:t>
      </w:r>
      <w:r w:rsidR="00161329">
        <w:rPr>
          <w:rFonts w:ascii="Times New Roman" w:hAnsi="Times New Roman" w:cs="Times New Roman"/>
          <w:color w:val="000000" w:themeColor="text1"/>
          <w:sz w:val="24"/>
          <w:szCs w:val="24"/>
          <w:lang w:val="en-US"/>
        </w:rPr>
        <w:t>3</w:t>
      </w:r>
      <w:r w:rsidR="002D12D7" w:rsidRPr="004B5B83">
        <w:rPr>
          <w:rFonts w:ascii="Times New Roman" w:hAnsi="Times New Roman" w:cs="Times New Roman"/>
          <w:color w:val="000000" w:themeColor="text1"/>
          <w:sz w:val="24"/>
          <w:szCs w:val="24"/>
          <w:lang w:val="en-US"/>
        </w:rPr>
        <w:t xml:space="preserve"> and T-</w:t>
      </w:r>
      <w:r w:rsidR="00161329">
        <w:rPr>
          <w:rFonts w:ascii="Times New Roman" w:hAnsi="Times New Roman" w:cs="Times New Roman"/>
          <w:color w:val="000000" w:themeColor="text1"/>
          <w:sz w:val="24"/>
          <w:szCs w:val="24"/>
          <w:lang w:val="en-US"/>
        </w:rPr>
        <w:t>612</w:t>
      </w:r>
      <w:r w:rsidR="002D12D7" w:rsidRPr="004B5B83">
        <w:rPr>
          <w:rFonts w:ascii="Times New Roman" w:hAnsi="Times New Roman" w:cs="Times New Roman"/>
          <w:color w:val="000000" w:themeColor="text1"/>
          <w:sz w:val="24"/>
          <w:szCs w:val="24"/>
          <w:lang w:val="en-US"/>
        </w:rPr>
        <w:t>/2</w:t>
      </w:r>
      <w:r w:rsidR="00161329">
        <w:rPr>
          <w:rFonts w:ascii="Times New Roman" w:hAnsi="Times New Roman" w:cs="Times New Roman"/>
          <w:color w:val="000000" w:themeColor="text1"/>
          <w:sz w:val="24"/>
          <w:szCs w:val="24"/>
          <w:lang w:val="en-US"/>
        </w:rPr>
        <w:t>3</w:t>
      </w:r>
      <w:r w:rsidR="002D12D7" w:rsidRPr="004B5B83">
        <w:rPr>
          <w:rFonts w:ascii="Times New Roman" w:hAnsi="Times New Roman" w:cs="Times New Roman"/>
          <w:color w:val="000000" w:themeColor="text1"/>
          <w:sz w:val="24"/>
          <w:szCs w:val="24"/>
          <w:lang w:val="en-US"/>
        </w:rPr>
        <w:t xml:space="preserve">, </w:t>
      </w:r>
      <w:r w:rsidR="00742BDC">
        <w:rPr>
          <w:rFonts w:ascii="Times New Roman" w:hAnsi="Times New Roman" w:cs="Times New Roman"/>
          <w:color w:val="000000" w:themeColor="text1"/>
          <w:sz w:val="24"/>
          <w:szCs w:val="24"/>
          <w:lang w:val="en-US"/>
        </w:rPr>
        <w:t>published on</w:t>
      </w:r>
      <w:r w:rsidR="00AB0A3F">
        <w:rPr>
          <w:rFonts w:ascii="Times New Roman" w:hAnsi="Times New Roman" w:cs="Times New Roman"/>
          <w:color w:val="000000" w:themeColor="text1"/>
          <w:sz w:val="24"/>
          <w:szCs w:val="24"/>
          <w:lang w:val="en-US"/>
        </w:rPr>
        <w:t xml:space="preserve"> the 1</w:t>
      </w:r>
      <w:r w:rsidR="00AB0A3F" w:rsidRPr="00AB0A3F">
        <w:rPr>
          <w:rFonts w:ascii="Times New Roman" w:hAnsi="Times New Roman" w:cs="Times New Roman"/>
          <w:color w:val="000000" w:themeColor="text1"/>
          <w:sz w:val="24"/>
          <w:szCs w:val="24"/>
          <w:vertAlign w:val="superscript"/>
          <w:lang w:val="en-US"/>
        </w:rPr>
        <w:t>st</w:t>
      </w:r>
      <w:r w:rsidR="00AB0A3F">
        <w:rPr>
          <w:rFonts w:ascii="Times New Roman" w:hAnsi="Times New Roman" w:cs="Times New Roman"/>
          <w:color w:val="000000" w:themeColor="text1"/>
          <w:sz w:val="24"/>
          <w:szCs w:val="24"/>
          <w:lang w:val="en-US"/>
        </w:rPr>
        <w:t xml:space="preserve"> of October 2025, </w:t>
      </w:r>
      <w:r w:rsidR="002D12D7" w:rsidRPr="004B5B83">
        <w:rPr>
          <w:rFonts w:ascii="Times New Roman" w:hAnsi="Times New Roman" w:cs="Times New Roman"/>
          <w:color w:val="000000" w:themeColor="text1"/>
          <w:sz w:val="24"/>
          <w:szCs w:val="24"/>
          <w:lang w:val="en-US"/>
        </w:rPr>
        <w:t>t</w:t>
      </w:r>
      <w:r w:rsidR="00627920" w:rsidRPr="004B5B83">
        <w:rPr>
          <w:rFonts w:ascii="Times New Roman" w:hAnsi="Times New Roman" w:cs="Times New Roman"/>
          <w:color w:val="000000" w:themeColor="text1"/>
          <w:sz w:val="24"/>
          <w:szCs w:val="24"/>
          <w:lang w:val="en-US"/>
        </w:rPr>
        <w:t xml:space="preserve">he General Court annulled </w:t>
      </w:r>
      <w:r w:rsidR="00D54AC8">
        <w:rPr>
          <w:rFonts w:ascii="Times New Roman" w:hAnsi="Times New Roman" w:cs="Times New Roman"/>
          <w:color w:val="000000" w:themeColor="text1"/>
          <w:sz w:val="24"/>
          <w:szCs w:val="24"/>
          <w:lang w:val="en-US"/>
        </w:rPr>
        <w:t>a decision</w:t>
      </w:r>
      <w:r w:rsidR="0089583D">
        <w:rPr>
          <w:rFonts w:ascii="Times New Roman" w:hAnsi="Times New Roman" w:cs="Times New Roman"/>
          <w:color w:val="000000" w:themeColor="text1"/>
          <w:sz w:val="24"/>
          <w:szCs w:val="24"/>
          <w:lang w:val="en-US"/>
        </w:rPr>
        <w:t xml:space="preserve"> </w:t>
      </w:r>
      <w:r w:rsidR="009D4386">
        <w:rPr>
          <w:rFonts w:ascii="Times New Roman" w:hAnsi="Times New Roman" w:cs="Times New Roman"/>
          <w:color w:val="000000" w:themeColor="text1"/>
          <w:sz w:val="24"/>
          <w:szCs w:val="24"/>
          <w:lang w:val="en-US"/>
        </w:rPr>
        <w:t xml:space="preserve">of the </w:t>
      </w:r>
      <w:r w:rsidR="00940FEA" w:rsidRPr="00940FEA">
        <w:rPr>
          <w:rFonts w:ascii="Times New Roman" w:hAnsi="Times New Roman" w:cs="Times New Roman"/>
          <w:color w:val="000000" w:themeColor="text1"/>
          <w:sz w:val="24"/>
          <w:szCs w:val="24"/>
          <w:lang w:val="en-US"/>
        </w:rPr>
        <w:t>Board of Appeal of the European Union Agency for the Cooperation of Energy Regulators (</w:t>
      </w:r>
      <w:r w:rsidR="00940FEA">
        <w:rPr>
          <w:rFonts w:ascii="Times New Roman" w:hAnsi="Times New Roman" w:cs="Times New Roman"/>
          <w:color w:val="000000" w:themeColor="text1"/>
          <w:sz w:val="24"/>
          <w:szCs w:val="24"/>
          <w:lang w:val="en-US"/>
        </w:rPr>
        <w:t>“</w:t>
      </w:r>
      <w:r w:rsidR="00940FEA" w:rsidRPr="00940FEA">
        <w:rPr>
          <w:rFonts w:ascii="Times New Roman" w:hAnsi="Times New Roman" w:cs="Times New Roman"/>
          <w:b/>
          <w:bCs/>
          <w:color w:val="000000" w:themeColor="text1"/>
          <w:sz w:val="24"/>
          <w:szCs w:val="24"/>
          <w:lang w:val="en-US"/>
        </w:rPr>
        <w:t>ACER</w:t>
      </w:r>
      <w:r w:rsidR="00940FEA">
        <w:rPr>
          <w:rFonts w:ascii="Times New Roman" w:hAnsi="Times New Roman" w:cs="Times New Roman"/>
          <w:color w:val="000000" w:themeColor="text1"/>
          <w:sz w:val="24"/>
          <w:szCs w:val="24"/>
          <w:lang w:val="en-US"/>
        </w:rPr>
        <w:t>”</w:t>
      </w:r>
      <w:r w:rsidR="00940FEA" w:rsidRPr="00940FEA">
        <w:rPr>
          <w:rFonts w:ascii="Times New Roman" w:hAnsi="Times New Roman" w:cs="Times New Roman"/>
          <w:color w:val="000000" w:themeColor="text1"/>
          <w:sz w:val="24"/>
          <w:szCs w:val="24"/>
          <w:lang w:val="en-US"/>
        </w:rPr>
        <w:t xml:space="preserve">) </w:t>
      </w:r>
      <w:r w:rsidR="00D253C3">
        <w:rPr>
          <w:rFonts w:ascii="Times New Roman" w:hAnsi="Times New Roman" w:cs="Times New Roman"/>
          <w:color w:val="000000" w:themeColor="text1"/>
          <w:sz w:val="24"/>
          <w:szCs w:val="24"/>
          <w:lang w:val="en-US"/>
        </w:rPr>
        <w:t xml:space="preserve">– </w:t>
      </w:r>
      <w:r w:rsidR="004A4FF7">
        <w:rPr>
          <w:rFonts w:ascii="Times New Roman" w:hAnsi="Times New Roman" w:cs="Times New Roman"/>
          <w:color w:val="000000" w:themeColor="text1"/>
          <w:sz w:val="24"/>
          <w:szCs w:val="24"/>
          <w:lang w:val="en-US"/>
        </w:rPr>
        <w:t>which confirmed</w:t>
      </w:r>
      <w:r w:rsidR="00653EA7" w:rsidRPr="00431FAA">
        <w:rPr>
          <w:rFonts w:ascii="Times New Roman" w:hAnsi="Times New Roman" w:cs="Times New Roman"/>
          <w:color w:val="000000" w:themeColor="text1"/>
          <w:sz w:val="24"/>
          <w:szCs w:val="24"/>
          <w:lang w:val="en-US"/>
        </w:rPr>
        <w:t xml:space="preserve"> ACER’s decision on capacity calculation methodologies for electricity transmission in the ‘</w:t>
      </w:r>
      <w:commentRangeStart w:id="0"/>
      <w:r w:rsidR="00653EA7" w:rsidRPr="00C17EF9">
        <w:rPr>
          <w:rFonts w:ascii="Times New Roman" w:hAnsi="Times New Roman" w:cs="Times New Roman"/>
          <w:i/>
          <w:iCs/>
          <w:color w:val="000000" w:themeColor="text1"/>
          <w:sz w:val="24"/>
          <w:szCs w:val="24"/>
          <w:lang w:val="en-US"/>
        </w:rPr>
        <w:t>Core</w:t>
      </w:r>
      <w:commentRangeEnd w:id="0"/>
      <w:r w:rsidR="00C17EF9">
        <w:rPr>
          <w:rStyle w:val="Rimandocommento"/>
        </w:rPr>
        <w:commentReference w:id="0"/>
      </w:r>
      <w:r w:rsidR="00653EA7" w:rsidRPr="00431FAA">
        <w:rPr>
          <w:rFonts w:ascii="Times New Roman" w:hAnsi="Times New Roman" w:cs="Times New Roman"/>
          <w:color w:val="000000" w:themeColor="text1"/>
          <w:sz w:val="24"/>
          <w:szCs w:val="24"/>
          <w:lang w:val="en-US"/>
        </w:rPr>
        <w:t>’ region</w:t>
      </w:r>
      <w:r w:rsidR="0090710E">
        <w:rPr>
          <w:rFonts w:ascii="Times New Roman" w:hAnsi="Times New Roman" w:cs="Times New Roman"/>
          <w:color w:val="000000" w:themeColor="text1"/>
          <w:sz w:val="24"/>
          <w:szCs w:val="24"/>
          <w:lang w:val="en-US"/>
        </w:rPr>
        <w:t xml:space="preserve"> and namely </w:t>
      </w:r>
      <w:r w:rsidR="0003564F">
        <w:rPr>
          <w:rFonts w:ascii="Times New Roman" w:hAnsi="Times New Roman" w:cs="Times New Roman"/>
          <w:color w:val="000000" w:themeColor="text1"/>
          <w:sz w:val="24"/>
          <w:szCs w:val="24"/>
          <w:lang w:val="en-US"/>
        </w:rPr>
        <w:t xml:space="preserve">in </w:t>
      </w:r>
      <w:r w:rsidR="0090710E" w:rsidRPr="0003154F">
        <w:rPr>
          <w:rFonts w:ascii="Times New Roman" w:hAnsi="Times New Roman" w:cs="Times New Roman"/>
          <w:color w:val="000000" w:themeColor="text1"/>
          <w:sz w:val="24"/>
          <w:szCs w:val="24"/>
          <w:lang w:val="en-US"/>
        </w:rPr>
        <w:t>Belgium, the Czech Republic, Germany, France, Croatia, Luxembourg, Hungary, the Netherlands, Austria, Poland, Romania, Slovenia, and Slovakia ( “</w:t>
      </w:r>
      <w:r w:rsidR="0090710E" w:rsidRPr="0003154F">
        <w:rPr>
          <w:rFonts w:ascii="Times New Roman" w:hAnsi="Times New Roman" w:cs="Times New Roman"/>
          <w:b/>
          <w:bCs/>
          <w:color w:val="000000" w:themeColor="text1"/>
          <w:sz w:val="24"/>
          <w:szCs w:val="24"/>
          <w:lang w:val="en-US"/>
        </w:rPr>
        <w:t>Core region</w:t>
      </w:r>
      <w:r w:rsidR="0090710E" w:rsidRPr="0003154F">
        <w:rPr>
          <w:rFonts w:ascii="Times New Roman" w:hAnsi="Times New Roman" w:cs="Times New Roman"/>
          <w:color w:val="000000" w:themeColor="text1"/>
          <w:sz w:val="24"/>
          <w:szCs w:val="24"/>
          <w:lang w:val="en-US"/>
        </w:rPr>
        <w:t>”)</w:t>
      </w:r>
      <w:r w:rsidR="00431FAA" w:rsidRPr="00431FAA">
        <w:rPr>
          <w:rFonts w:ascii="Times New Roman" w:hAnsi="Times New Roman" w:cs="Times New Roman"/>
          <w:color w:val="000000" w:themeColor="text1"/>
          <w:sz w:val="24"/>
          <w:szCs w:val="24"/>
          <w:lang w:val="en-US"/>
        </w:rPr>
        <w:t>.</w:t>
      </w:r>
    </w:p>
    <w:p w14:paraId="55D83328" w14:textId="0EB10F9D" w:rsidR="000429FD" w:rsidRDefault="0016423A" w:rsidP="00A9021A">
      <w:pPr>
        <w:spacing w:before="120" w:after="240" w:line="276" w:lineRule="auto"/>
        <w:jc w:val="both"/>
        <w:rPr>
          <w:rFonts w:ascii="Times New Roman" w:hAnsi="Times New Roman" w:cs="Times New Roman"/>
          <w:color w:val="000000" w:themeColor="text1"/>
          <w:sz w:val="24"/>
          <w:szCs w:val="24"/>
          <w:lang w:val="en-US"/>
        </w:rPr>
      </w:pPr>
      <w:commentRangeStart w:id="1"/>
      <w:r>
        <w:rPr>
          <w:rFonts w:ascii="Times New Roman" w:hAnsi="Times New Roman" w:cs="Times New Roman"/>
          <w:color w:val="000000" w:themeColor="text1"/>
          <w:sz w:val="24"/>
          <w:szCs w:val="24"/>
          <w:lang w:val="en-US"/>
        </w:rPr>
        <w:t>Pursuant to</w:t>
      </w:r>
      <w:r w:rsidR="0003154F" w:rsidRPr="0003154F">
        <w:rPr>
          <w:rFonts w:ascii="Times New Roman" w:hAnsi="Times New Roman" w:cs="Times New Roman"/>
          <w:color w:val="000000" w:themeColor="text1"/>
          <w:sz w:val="24"/>
          <w:szCs w:val="24"/>
          <w:lang w:val="en-US"/>
        </w:rPr>
        <w:t xml:space="preserve"> </w:t>
      </w:r>
      <w:r w:rsidR="00021888">
        <w:rPr>
          <w:rFonts w:ascii="Times New Roman" w:hAnsi="Times New Roman" w:cs="Times New Roman"/>
          <w:color w:val="000000" w:themeColor="text1"/>
          <w:sz w:val="24"/>
          <w:szCs w:val="24"/>
          <w:lang w:val="en-US"/>
        </w:rPr>
        <w:t xml:space="preserve">the now repealed </w:t>
      </w:r>
      <w:r w:rsidR="0003154F" w:rsidRPr="0003154F">
        <w:rPr>
          <w:rFonts w:ascii="Times New Roman" w:hAnsi="Times New Roman" w:cs="Times New Roman"/>
          <w:color w:val="000000" w:themeColor="text1"/>
          <w:sz w:val="24"/>
          <w:szCs w:val="24"/>
          <w:lang w:val="en-US"/>
        </w:rPr>
        <w:t>Regulation</w:t>
      </w:r>
      <w:r w:rsidR="00641C6D">
        <w:rPr>
          <w:rFonts w:ascii="Times New Roman" w:hAnsi="Times New Roman" w:cs="Times New Roman"/>
          <w:color w:val="000000" w:themeColor="text1"/>
          <w:sz w:val="24"/>
          <w:szCs w:val="24"/>
          <w:lang w:val="en-US"/>
        </w:rPr>
        <w:t xml:space="preserve"> No</w:t>
      </w:r>
      <w:r w:rsidR="0003154F" w:rsidRPr="0003154F">
        <w:rPr>
          <w:rFonts w:ascii="Times New Roman" w:hAnsi="Times New Roman" w:cs="Times New Roman"/>
          <w:color w:val="000000" w:themeColor="text1"/>
          <w:sz w:val="24"/>
          <w:szCs w:val="24"/>
          <w:lang w:val="en-US"/>
        </w:rPr>
        <w:t xml:space="preserve"> 714/200</w:t>
      </w:r>
      <w:commentRangeEnd w:id="1"/>
      <w:r w:rsidR="00021888">
        <w:rPr>
          <w:rStyle w:val="Rimandocommento"/>
        </w:rPr>
        <w:commentReference w:id="1"/>
      </w:r>
      <w:r w:rsidR="0003154F" w:rsidRPr="0003154F">
        <w:rPr>
          <w:rFonts w:ascii="Times New Roman" w:hAnsi="Times New Roman" w:cs="Times New Roman"/>
          <w:color w:val="000000" w:themeColor="text1"/>
          <w:sz w:val="24"/>
          <w:szCs w:val="24"/>
          <w:lang w:val="en-US"/>
        </w:rPr>
        <w:t>9</w:t>
      </w:r>
      <w:r w:rsidR="00021888">
        <w:rPr>
          <w:rStyle w:val="Rimandonotaapidipagina"/>
          <w:rFonts w:ascii="Times New Roman" w:hAnsi="Times New Roman" w:cs="Times New Roman"/>
          <w:color w:val="000000" w:themeColor="text1"/>
          <w:sz w:val="24"/>
          <w:szCs w:val="24"/>
          <w:lang w:val="en-US"/>
        </w:rPr>
        <w:footnoteReference w:id="2"/>
      </w:r>
      <w:r w:rsidR="0003154F" w:rsidRPr="0003154F">
        <w:rPr>
          <w:rFonts w:ascii="Times New Roman" w:hAnsi="Times New Roman" w:cs="Times New Roman"/>
          <w:color w:val="000000" w:themeColor="text1"/>
          <w:sz w:val="24"/>
          <w:szCs w:val="24"/>
          <w:lang w:val="en-US"/>
        </w:rPr>
        <w:t xml:space="preserve">, the </w:t>
      </w:r>
      <w:r>
        <w:rPr>
          <w:rFonts w:ascii="Times New Roman" w:hAnsi="Times New Roman" w:cs="Times New Roman"/>
          <w:color w:val="000000" w:themeColor="text1"/>
          <w:sz w:val="24"/>
          <w:szCs w:val="24"/>
          <w:lang w:val="en-US"/>
        </w:rPr>
        <w:t xml:space="preserve">European </w:t>
      </w:r>
      <w:r w:rsidR="0003154F" w:rsidRPr="0003154F">
        <w:rPr>
          <w:rFonts w:ascii="Times New Roman" w:hAnsi="Times New Roman" w:cs="Times New Roman"/>
          <w:color w:val="000000" w:themeColor="text1"/>
          <w:sz w:val="24"/>
          <w:szCs w:val="24"/>
          <w:lang w:val="en-US"/>
        </w:rPr>
        <w:t xml:space="preserve">Commission adopted </w:t>
      </w:r>
      <w:r w:rsidR="0003154F" w:rsidRPr="0016423A">
        <w:rPr>
          <w:rFonts w:ascii="Times New Roman" w:hAnsi="Times New Roman" w:cs="Times New Roman"/>
          <w:b/>
          <w:bCs/>
          <w:color w:val="000000" w:themeColor="text1"/>
          <w:sz w:val="24"/>
          <w:szCs w:val="24"/>
          <w:lang w:val="en-US"/>
        </w:rPr>
        <w:t>Regulation (EU) 2015/1222</w:t>
      </w:r>
      <w:r w:rsidR="00021888">
        <w:rPr>
          <w:rStyle w:val="Rimandonotaapidipagina"/>
          <w:rFonts w:ascii="Times New Roman" w:hAnsi="Times New Roman" w:cs="Times New Roman"/>
          <w:b/>
          <w:bCs/>
          <w:color w:val="000000" w:themeColor="text1"/>
          <w:sz w:val="24"/>
          <w:szCs w:val="24"/>
          <w:lang w:val="en-US"/>
        </w:rPr>
        <w:footnoteReference w:id="3"/>
      </w:r>
      <w:r w:rsidR="0003154F" w:rsidRPr="0003154F">
        <w:rPr>
          <w:rFonts w:ascii="Times New Roman" w:hAnsi="Times New Roman" w:cs="Times New Roman"/>
          <w:color w:val="000000" w:themeColor="text1"/>
          <w:sz w:val="24"/>
          <w:szCs w:val="24"/>
          <w:lang w:val="en-US"/>
        </w:rPr>
        <w:t xml:space="preserve">, </w:t>
      </w:r>
      <w:r w:rsidR="001D37BA">
        <w:rPr>
          <w:rFonts w:ascii="Times New Roman" w:hAnsi="Times New Roman" w:cs="Times New Roman"/>
          <w:color w:val="000000" w:themeColor="text1"/>
          <w:sz w:val="24"/>
          <w:szCs w:val="24"/>
          <w:lang w:val="en-US"/>
        </w:rPr>
        <w:t>establishing</w:t>
      </w:r>
      <w:r w:rsidR="0003154F" w:rsidRPr="0003154F">
        <w:rPr>
          <w:rFonts w:ascii="Times New Roman" w:hAnsi="Times New Roman" w:cs="Times New Roman"/>
          <w:color w:val="000000" w:themeColor="text1"/>
          <w:sz w:val="24"/>
          <w:szCs w:val="24"/>
          <w:lang w:val="en-US"/>
        </w:rPr>
        <w:t xml:space="preserve"> guidelines on capacity allocation and congestion management in the electricity sector. This regulation </w:t>
      </w:r>
      <w:r w:rsidR="001D37BA">
        <w:rPr>
          <w:rFonts w:ascii="Times New Roman" w:hAnsi="Times New Roman" w:cs="Times New Roman"/>
          <w:color w:val="000000" w:themeColor="text1"/>
          <w:sz w:val="24"/>
          <w:szCs w:val="24"/>
          <w:lang w:val="en-US"/>
        </w:rPr>
        <w:t>sets out</w:t>
      </w:r>
      <w:r w:rsidR="0003154F" w:rsidRPr="0003154F">
        <w:rPr>
          <w:rFonts w:ascii="Times New Roman" w:hAnsi="Times New Roman" w:cs="Times New Roman"/>
          <w:color w:val="000000" w:themeColor="text1"/>
          <w:sz w:val="24"/>
          <w:szCs w:val="24"/>
          <w:lang w:val="en-US"/>
        </w:rPr>
        <w:t xml:space="preserve"> requirements </w:t>
      </w:r>
      <w:commentRangeStart w:id="2"/>
      <w:r w:rsidR="001D37BA">
        <w:rPr>
          <w:rFonts w:ascii="Times New Roman" w:hAnsi="Times New Roman" w:cs="Times New Roman"/>
          <w:color w:val="000000" w:themeColor="text1"/>
          <w:sz w:val="24"/>
          <w:szCs w:val="24"/>
          <w:lang w:val="en-US"/>
        </w:rPr>
        <w:t>for</w:t>
      </w:r>
      <w:r w:rsidR="0003154F" w:rsidRPr="0003154F">
        <w:rPr>
          <w:rFonts w:ascii="Times New Roman" w:hAnsi="Times New Roman" w:cs="Times New Roman"/>
          <w:color w:val="000000" w:themeColor="text1"/>
          <w:sz w:val="24"/>
          <w:szCs w:val="24"/>
          <w:lang w:val="en-US"/>
        </w:rPr>
        <w:t xml:space="preserve"> cross-zonal capacity allocation</w:t>
      </w:r>
      <w:r w:rsidR="004455F8">
        <w:rPr>
          <w:rStyle w:val="Rimandonotaapidipagina"/>
          <w:rFonts w:ascii="Times New Roman" w:hAnsi="Times New Roman" w:cs="Times New Roman"/>
          <w:color w:val="000000" w:themeColor="text1"/>
          <w:sz w:val="24"/>
          <w:szCs w:val="24"/>
          <w:lang w:val="en-US"/>
        </w:rPr>
        <w:footnoteReference w:id="4"/>
      </w:r>
      <w:r w:rsidR="0003154F" w:rsidRPr="0003154F">
        <w:rPr>
          <w:rFonts w:ascii="Times New Roman" w:hAnsi="Times New Roman" w:cs="Times New Roman"/>
          <w:color w:val="000000" w:themeColor="text1"/>
          <w:sz w:val="24"/>
          <w:szCs w:val="24"/>
          <w:lang w:val="en-US"/>
        </w:rPr>
        <w:t xml:space="preserve"> </w:t>
      </w:r>
      <w:commentRangeEnd w:id="2"/>
      <w:r w:rsidR="00CB2C90">
        <w:rPr>
          <w:rStyle w:val="Rimandocommento"/>
        </w:rPr>
        <w:commentReference w:id="2"/>
      </w:r>
      <w:r w:rsidR="0003154F" w:rsidRPr="0003154F">
        <w:rPr>
          <w:rFonts w:ascii="Times New Roman" w:hAnsi="Times New Roman" w:cs="Times New Roman"/>
          <w:color w:val="000000" w:themeColor="text1"/>
          <w:sz w:val="24"/>
          <w:szCs w:val="24"/>
          <w:lang w:val="en-US"/>
        </w:rPr>
        <w:t xml:space="preserve">and </w:t>
      </w:r>
      <w:commentRangeStart w:id="3"/>
      <w:commentRangeStart w:id="4"/>
      <w:r w:rsidR="0003154F" w:rsidRPr="0003154F">
        <w:rPr>
          <w:rFonts w:ascii="Times New Roman" w:hAnsi="Times New Roman" w:cs="Times New Roman"/>
          <w:color w:val="000000" w:themeColor="text1"/>
          <w:sz w:val="24"/>
          <w:szCs w:val="24"/>
          <w:lang w:val="en-US"/>
        </w:rPr>
        <w:t>congestion management</w:t>
      </w:r>
      <w:r w:rsidR="004455F8">
        <w:rPr>
          <w:rStyle w:val="Rimandonotaapidipagina"/>
          <w:rFonts w:ascii="Times New Roman" w:hAnsi="Times New Roman" w:cs="Times New Roman"/>
          <w:color w:val="000000" w:themeColor="text1"/>
          <w:sz w:val="24"/>
          <w:szCs w:val="24"/>
          <w:lang w:val="en-US"/>
        </w:rPr>
        <w:footnoteReference w:id="5"/>
      </w:r>
      <w:r w:rsidR="0003154F" w:rsidRPr="0003154F">
        <w:rPr>
          <w:rFonts w:ascii="Times New Roman" w:hAnsi="Times New Roman" w:cs="Times New Roman"/>
          <w:color w:val="000000" w:themeColor="text1"/>
          <w:sz w:val="24"/>
          <w:szCs w:val="24"/>
          <w:lang w:val="en-US"/>
        </w:rPr>
        <w:t xml:space="preserve"> </w:t>
      </w:r>
      <w:commentRangeEnd w:id="3"/>
      <w:r w:rsidR="00CB2C90">
        <w:rPr>
          <w:rStyle w:val="Rimandocommento"/>
        </w:rPr>
        <w:commentReference w:id="3"/>
      </w:r>
      <w:r w:rsidR="00CD35CE">
        <w:rPr>
          <w:rFonts w:ascii="Times New Roman" w:hAnsi="Times New Roman" w:cs="Times New Roman"/>
          <w:color w:val="000000" w:themeColor="text1"/>
          <w:sz w:val="24"/>
          <w:szCs w:val="24"/>
          <w:lang w:val="en-US"/>
        </w:rPr>
        <w:t>in</w:t>
      </w:r>
      <w:r w:rsidR="0003154F" w:rsidRPr="0003154F">
        <w:rPr>
          <w:rFonts w:ascii="Times New Roman" w:hAnsi="Times New Roman" w:cs="Times New Roman"/>
          <w:color w:val="000000" w:themeColor="text1"/>
          <w:sz w:val="24"/>
          <w:szCs w:val="24"/>
          <w:lang w:val="en-US"/>
        </w:rPr>
        <w:t xml:space="preserve"> the </w:t>
      </w:r>
      <w:commentRangeStart w:id="5"/>
      <w:r w:rsidR="0003154F" w:rsidRPr="0003154F">
        <w:rPr>
          <w:rFonts w:ascii="Times New Roman" w:hAnsi="Times New Roman" w:cs="Times New Roman"/>
          <w:color w:val="000000" w:themeColor="text1"/>
          <w:sz w:val="24"/>
          <w:szCs w:val="24"/>
          <w:lang w:val="en-US"/>
        </w:rPr>
        <w:t>day-ahead</w:t>
      </w:r>
      <w:r w:rsidR="004455F8">
        <w:rPr>
          <w:rStyle w:val="Rimandonotaapidipagina"/>
          <w:rFonts w:ascii="Times New Roman" w:hAnsi="Times New Roman" w:cs="Times New Roman"/>
          <w:color w:val="000000" w:themeColor="text1"/>
          <w:sz w:val="24"/>
          <w:szCs w:val="24"/>
          <w:lang w:val="en-US"/>
        </w:rPr>
        <w:footnoteReference w:id="6"/>
      </w:r>
      <w:r w:rsidR="0003154F" w:rsidRPr="0003154F">
        <w:rPr>
          <w:rFonts w:ascii="Times New Roman" w:hAnsi="Times New Roman" w:cs="Times New Roman"/>
          <w:color w:val="000000" w:themeColor="text1"/>
          <w:sz w:val="24"/>
          <w:szCs w:val="24"/>
          <w:lang w:val="en-US"/>
        </w:rPr>
        <w:t xml:space="preserve"> </w:t>
      </w:r>
      <w:commentRangeEnd w:id="5"/>
      <w:r w:rsidR="00CF494A">
        <w:rPr>
          <w:rStyle w:val="Rimandocommento"/>
        </w:rPr>
        <w:commentReference w:id="5"/>
      </w:r>
      <w:r w:rsidR="0003154F" w:rsidRPr="0003154F">
        <w:rPr>
          <w:rFonts w:ascii="Times New Roman" w:hAnsi="Times New Roman" w:cs="Times New Roman"/>
          <w:color w:val="000000" w:themeColor="text1"/>
          <w:sz w:val="24"/>
          <w:szCs w:val="24"/>
          <w:lang w:val="en-US"/>
        </w:rPr>
        <w:t xml:space="preserve">and </w:t>
      </w:r>
      <w:commentRangeStart w:id="6"/>
      <w:r w:rsidR="0003154F" w:rsidRPr="0003154F">
        <w:rPr>
          <w:rFonts w:ascii="Times New Roman" w:hAnsi="Times New Roman" w:cs="Times New Roman"/>
          <w:color w:val="000000" w:themeColor="text1"/>
          <w:sz w:val="24"/>
          <w:szCs w:val="24"/>
          <w:lang w:val="en-US"/>
        </w:rPr>
        <w:t>intraday markets</w:t>
      </w:r>
      <w:commentRangeEnd w:id="6"/>
      <w:r w:rsidR="00F502CA">
        <w:rPr>
          <w:rStyle w:val="Rimandocommento"/>
        </w:rPr>
        <w:commentReference w:id="6"/>
      </w:r>
      <w:r w:rsidR="004455F8">
        <w:rPr>
          <w:rStyle w:val="Rimandonotaapidipagina"/>
          <w:rFonts w:ascii="Times New Roman" w:hAnsi="Times New Roman" w:cs="Times New Roman"/>
          <w:color w:val="000000" w:themeColor="text1"/>
          <w:sz w:val="24"/>
          <w:szCs w:val="24"/>
          <w:lang w:val="en-US"/>
        </w:rPr>
        <w:footnoteReference w:id="7"/>
      </w:r>
      <w:r w:rsidR="0003154F" w:rsidRPr="0003154F">
        <w:rPr>
          <w:rFonts w:ascii="Times New Roman" w:hAnsi="Times New Roman" w:cs="Times New Roman"/>
          <w:color w:val="000000" w:themeColor="text1"/>
          <w:sz w:val="24"/>
          <w:szCs w:val="24"/>
          <w:lang w:val="en-US"/>
        </w:rPr>
        <w:t xml:space="preserve">, </w:t>
      </w:r>
      <w:commentRangeEnd w:id="4"/>
      <w:r w:rsidR="00902C6D">
        <w:rPr>
          <w:rStyle w:val="Rimandocommento"/>
        </w:rPr>
        <w:commentReference w:id="4"/>
      </w:r>
      <w:r w:rsidR="0003154F" w:rsidRPr="0003154F">
        <w:rPr>
          <w:rFonts w:ascii="Times New Roman" w:hAnsi="Times New Roman" w:cs="Times New Roman"/>
          <w:color w:val="000000" w:themeColor="text1"/>
          <w:sz w:val="24"/>
          <w:szCs w:val="24"/>
          <w:lang w:val="en-US"/>
        </w:rPr>
        <w:t xml:space="preserve">including the definition of common methodologies for calculating </w:t>
      </w:r>
      <w:r w:rsidR="001E2F18" w:rsidRPr="0003154F">
        <w:rPr>
          <w:rFonts w:ascii="Times New Roman" w:hAnsi="Times New Roman" w:cs="Times New Roman"/>
          <w:color w:val="000000" w:themeColor="text1"/>
          <w:sz w:val="24"/>
          <w:szCs w:val="24"/>
          <w:lang w:val="en-US"/>
        </w:rPr>
        <w:t xml:space="preserve">the day-ahead and intraday </w:t>
      </w:r>
      <w:r w:rsidR="0003154F" w:rsidRPr="0003154F">
        <w:rPr>
          <w:rFonts w:ascii="Times New Roman" w:hAnsi="Times New Roman" w:cs="Times New Roman"/>
          <w:color w:val="000000" w:themeColor="text1"/>
          <w:sz w:val="24"/>
          <w:szCs w:val="24"/>
          <w:lang w:val="en-US"/>
        </w:rPr>
        <w:t>cross-</w:t>
      </w:r>
      <w:r w:rsidR="00143EE4">
        <w:rPr>
          <w:rFonts w:ascii="Times New Roman" w:hAnsi="Times New Roman" w:cs="Times New Roman"/>
          <w:color w:val="000000" w:themeColor="text1"/>
          <w:sz w:val="24"/>
          <w:szCs w:val="24"/>
          <w:lang w:val="en-US"/>
        </w:rPr>
        <w:t>zonal</w:t>
      </w:r>
      <w:r w:rsidR="0003154F" w:rsidRPr="0003154F">
        <w:rPr>
          <w:rFonts w:ascii="Times New Roman" w:hAnsi="Times New Roman" w:cs="Times New Roman"/>
          <w:color w:val="000000" w:themeColor="text1"/>
          <w:sz w:val="24"/>
          <w:szCs w:val="24"/>
          <w:lang w:val="en-US"/>
        </w:rPr>
        <w:t xml:space="preserve"> capacity within different regions.</w:t>
      </w:r>
      <w:r w:rsidR="00143EE4">
        <w:rPr>
          <w:rFonts w:ascii="Times New Roman" w:hAnsi="Times New Roman" w:cs="Times New Roman"/>
          <w:color w:val="000000" w:themeColor="text1"/>
          <w:sz w:val="24"/>
          <w:szCs w:val="24"/>
          <w:lang w:val="en-US"/>
        </w:rPr>
        <w:t xml:space="preserve"> </w:t>
      </w:r>
      <w:r w:rsidR="0003154F" w:rsidRPr="0003154F">
        <w:rPr>
          <w:rFonts w:ascii="Times New Roman" w:hAnsi="Times New Roman" w:cs="Times New Roman"/>
          <w:color w:val="000000" w:themeColor="text1"/>
          <w:sz w:val="24"/>
          <w:szCs w:val="24"/>
          <w:lang w:val="en-US"/>
        </w:rPr>
        <w:t>Article 20, in particular, lays down the rules for the introduction of capacity calculation methodologies using a “</w:t>
      </w:r>
      <w:r w:rsidR="0003154F" w:rsidRPr="00F631A2">
        <w:rPr>
          <w:rFonts w:ascii="Times New Roman" w:hAnsi="Times New Roman" w:cs="Times New Roman"/>
          <w:i/>
          <w:iCs/>
          <w:color w:val="000000" w:themeColor="text1"/>
          <w:sz w:val="24"/>
          <w:szCs w:val="24"/>
          <w:lang w:val="en-US"/>
        </w:rPr>
        <w:t>flow-based approach</w:t>
      </w:r>
      <w:r w:rsidR="0003154F" w:rsidRPr="0003154F">
        <w:rPr>
          <w:rFonts w:ascii="Times New Roman" w:hAnsi="Times New Roman" w:cs="Times New Roman"/>
          <w:color w:val="000000" w:themeColor="text1"/>
          <w:sz w:val="24"/>
          <w:szCs w:val="24"/>
          <w:lang w:val="en-US"/>
        </w:rPr>
        <w:t>”, which is defined as a “</w:t>
      </w:r>
      <w:r w:rsidR="0003154F" w:rsidRPr="00F631A2">
        <w:rPr>
          <w:rFonts w:ascii="Times New Roman" w:hAnsi="Times New Roman" w:cs="Times New Roman"/>
          <w:i/>
          <w:iCs/>
          <w:color w:val="000000" w:themeColor="text1"/>
          <w:sz w:val="24"/>
          <w:szCs w:val="24"/>
          <w:lang w:val="en-US"/>
        </w:rPr>
        <w:t>capacity calculation method in which energy exchanges between</w:t>
      </w:r>
      <w:r w:rsidR="00AA2803">
        <w:rPr>
          <w:rFonts w:ascii="Times New Roman" w:hAnsi="Times New Roman" w:cs="Times New Roman"/>
          <w:i/>
          <w:iCs/>
          <w:color w:val="000000" w:themeColor="text1"/>
          <w:sz w:val="24"/>
          <w:szCs w:val="24"/>
          <w:lang w:val="en-US"/>
        </w:rPr>
        <w:t xml:space="preserve"> </w:t>
      </w:r>
      <w:r w:rsidR="0003154F" w:rsidRPr="00F631A2">
        <w:rPr>
          <w:rFonts w:ascii="Times New Roman" w:hAnsi="Times New Roman" w:cs="Times New Roman"/>
          <w:i/>
          <w:iCs/>
          <w:color w:val="000000" w:themeColor="text1"/>
          <w:sz w:val="24"/>
          <w:szCs w:val="24"/>
          <w:lang w:val="en-US"/>
        </w:rPr>
        <w:t>zones</w:t>
      </w:r>
      <w:r w:rsidR="00B23BC5" w:rsidRPr="00F631A2">
        <w:rPr>
          <w:rFonts w:ascii="Times New Roman" w:hAnsi="Times New Roman" w:cs="Times New Roman"/>
          <w:i/>
          <w:iCs/>
          <w:color w:val="000000" w:themeColor="text1"/>
          <w:sz w:val="24"/>
          <w:szCs w:val="24"/>
          <w:lang w:val="en-US"/>
        </w:rPr>
        <w:t xml:space="preserve"> </w:t>
      </w:r>
      <w:r w:rsidR="0003154F" w:rsidRPr="00F631A2">
        <w:rPr>
          <w:rFonts w:ascii="Times New Roman" w:hAnsi="Times New Roman" w:cs="Times New Roman"/>
          <w:i/>
          <w:iCs/>
          <w:color w:val="000000" w:themeColor="text1"/>
          <w:sz w:val="24"/>
          <w:szCs w:val="24"/>
          <w:lang w:val="en-US"/>
        </w:rPr>
        <w:t>are limited by power transfer distribution factors (</w:t>
      </w:r>
      <w:r w:rsidR="006A0438" w:rsidRPr="00F631A2">
        <w:rPr>
          <w:rFonts w:ascii="Times New Roman" w:hAnsi="Times New Roman" w:cs="Times New Roman"/>
          <w:i/>
          <w:iCs/>
          <w:color w:val="000000" w:themeColor="text1"/>
          <w:sz w:val="24"/>
          <w:szCs w:val="24"/>
          <w:lang w:val="en-US"/>
        </w:rPr>
        <w:t>“</w:t>
      </w:r>
      <w:r w:rsidR="0003154F" w:rsidRPr="00F631A2">
        <w:rPr>
          <w:rFonts w:ascii="Times New Roman" w:hAnsi="Times New Roman" w:cs="Times New Roman"/>
          <w:b/>
          <w:bCs/>
          <w:i/>
          <w:iCs/>
          <w:color w:val="000000" w:themeColor="text1"/>
          <w:sz w:val="24"/>
          <w:szCs w:val="24"/>
          <w:lang w:val="en-US"/>
        </w:rPr>
        <w:t>PTDFs</w:t>
      </w:r>
      <w:r w:rsidR="006A0438" w:rsidRPr="00F631A2">
        <w:rPr>
          <w:rFonts w:ascii="Times New Roman" w:hAnsi="Times New Roman" w:cs="Times New Roman"/>
          <w:i/>
          <w:iCs/>
          <w:color w:val="000000" w:themeColor="text1"/>
          <w:sz w:val="24"/>
          <w:szCs w:val="24"/>
          <w:lang w:val="en-US"/>
        </w:rPr>
        <w:t>”</w:t>
      </w:r>
      <w:r w:rsidR="0003154F" w:rsidRPr="00F631A2">
        <w:rPr>
          <w:rFonts w:ascii="Times New Roman" w:hAnsi="Times New Roman" w:cs="Times New Roman"/>
          <w:i/>
          <w:iCs/>
          <w:color w:val="000000" w:themeColor="text1"/>
          <w:sz w:val="24"/>
          <w:szCs w:val="24"/>
          <w:lang w:val="en-US"/>
        </w:rPr>
        <w:t>) and available margins on critical network elements</w:t>
      </w:r>
      <w:r w:rsidR="0003154F" w:rsidRPr="0003154F">
        <w:rPr>
          <w:rFonts w:ascii="Times New Roman" w:hAnsi="Times New Roman" w:cs="Times New Roman"/>
          <w:color w:val="000000" w:themeColor="text1"/>
          <w:sz w:val="24"/>
          <w:szCs w:val="24"/>
          <w:lang w:val="en-US"/>
        </w:rPr>
        <w:t>”</w:t>
      </w:r>
      <w:r w:rsidR="006A0438">
        <w:rPr>
          <w:rStyle w:val="Rimandonotaapidipagina"/>
          <w:rFonts w:ascii="Times New Roman" w:hAnsi="Times New Roman" w:cs="Times New Roman"/>
          <w:color w:val="000000" w:themeColor="text1"/>
          <w:sz w:val="24"/>
          <w:szCs w:val="24"/>
          <w:lang w:val="en-US"/>
        </w:rPr>
        <w:footnoteReference w:id="8"/>
      </w:r>
      <w:r w:rsidR="0003154F" w:rsidRPr="0003154F">
        <w:rPr>
          <w:rFonts w:ascii="Times New Roman" w:hAnsi="Times New Roman" w:cs="Times New Roman"/>
          <w:color w:val="000000" w:themeColor="text1"/>
          <w:sz w:val="24"/>
          <w:szCs w:val="24"/>
          <w:lang w:val="en-US"/>
        </w:rPr>
        <w:t>.</w:t>
      </w:r>
      <w:r w:rsidR="006A0438">
        <w:rPr>
          <w:rFonts w:ascii="Times New Roman" w:hAnsi="Times New Roman" w:cs="Times New Roman"/>
          <w:color w:val="000000" w:themeColor="text1"/>
          <w:sz w:val="24"/>
          <w:szCs w:val="24"/>
          <w:lang w:val="en-US"/>
        </w:rPr>
        <w:t xml:space="preserve"> </w:t>
      </w:r>
      <w:r w:rsidR="0003154F" w:rsidRPr="0003154F">
        <w:rPr>
          <w:rFonts w:ascii="Times New Roman" w:hAnsi="Times New Roman" w:cs="Times New Roman"/>
          <w:color w:val="000000" w:themeColor="text1"/>
          <w:sz w:val="24"/>
          <w:szCs w:val="24"/>
          <w:lang w:val="en-US"/>
        </w:rPr>
        <w:t xml:space="preserve">The capacity calculation </w:t>
      </w:r>
      <w:r w:rsidR="00DE72B2">
        <w:rPr>
          <w:rFonts w:ascii="Times New Roman" w:hAnsi="Times New Roman" w:cs="Times New Roman"/>
          <w:color w:val="000000" w:themeColor="text1"/>
          <w:sz w:val="24"/>
          <w:szCs w:val="24"/>
          <w:lang w:val="en-US"/>
        </w:rPr>
        <w:t xml:space="preserve">for the Core </w:t>
      </w:r>
      <w:r w:rsidR="0003154F" w:rsidRPr="0003154F">
        <w:rPr>
          <w:rFonts w:ascii="Times New Roman" w:hAnsi="Times New Roman" w:cs="Times New Roman"/>
          <w:color w:val="000000" w:themeColor="text1"/>
          <w:sz w:val="24"/>
          <w:szCs w:val="24"/>
          <w:lang w:val="en-US"/>
        </w:rPr>
        <w:t>region applies this flow-based approach.</w:t>
      </w:r>
      <w:r w:rsidR="00386635">
        <w:rPr>
          <w:rFonts w:ascii="Times New Roman" w:hAnsi="Times New Roman" w:cs="Times New Roman"/>
          <w:color w:val="000000" w:themeColor="text1"/>
          <w:sz w:val="24"/>
          <w:szCs w:val="24"/>
          <w:lang w:val="en-US"/>
        </w:rPr>
        <w:t xml:space="preserve"> </w:t>
      </w:r>
    </w:p>
    <w:p w14:paraId="63A0E2AD" w14:textId="0CACA23A" w:rsidR="00730CA8" w:rsidRDefault="0003154F" w:rsidP="00A9021A">
      <w:pPr>
        <w:spacing w:before="120" w:after="240" w:line="276" w:lineRule="auto"/>
        <w:jc w:val="both"/>
        <w:rPr>
          <w:rFonts w:ascii="Times New Roman" w:hAnsi="Times New Roman" w:cs="Times New Roman"/>
          <w:color w:val="000000" w:themeColor="text1"/>
          <w:sz w:val="24"/>
          <w:szCs w:val="24"/>
          <w:lang w:val="en-US"/>
        </w:rPr>
      </w:pPr>
      <w:r w:rsidRPr="0003154F">
        <w:rPr>
          <w:rFonts w:ascii="Times New Roman" w:hAnsi="Times New Roman" w:cs="Times New Roman"/>
          <w:color w:val="000000" w:themeColor="text1"/>
          <w:sz w:val="24"/>
          <w:szCs w:val="24"/>
          <w:lang w:val="en-US"/>
        </w:rPr>
        <w:t>In accordance with Article 9(1) and Article 20(2) of Regulation 2015/1222, the Transmission System Operators (</w:t>
      </w:r>
      <w:r w:rsidR="00386635">
        <w:rPr>
          <w:rFonts w:ascii="Times New Roman" w:hAnsi="Times New Roman" w:cs="Times New Roman"/>
          <w:color w:val="000000" w:themeColor="text1"/>
          <w:sz w:val="24"/>
          <w:szCs w:val="24"/>
          <w:lang w:val="en-US"/>
        </w:rPr>
        <w:t>“</w:t>
      </w:r>
      <w:r w:rsidRPr="0003154F">
        <w:rPr>
          <w:rFonts w:ascii="Times New Roman" w:hAnsi="Times New Roman" w:cs="Times New Roman"/>
          <w:b/>
          <w:bCs/>
          <w:color w:val="000000" w:themeColor="text1"/>
          <w:sz w:val="24"/>
          <w:szCs w:val="24"/>
          <w:lang w:val="en-US"/>
        </w:rPr>
        <w:t>TSOs</w:t>
      </w:r>
      <w:r w:rsidR="00386635">
        <w:rPr>
          <w:rFonts w:ascii="Times New Roman" w:hAnsi="Times New Roman" w:cs="Times New Roman"/>
          <w:color w:val="000000" w:themeColor="text1"/>
          <w:sz w:val="24"/>
          <w:szCs w:val="24"/>
          <w:lang w:val="en-US"/>
        </w:rPr>
        <w:t>”</w:t>
      </w:r>
      <w:r w:rsidRPr="0003154F">
        <w:rPr>
          <w:rFonts w:ascii="Times New Roman" w:hAnsi="Times New Roman" w:cs="Times New Roman"/>
          <w:color w:val="000000" w:themeColor="text1"/>
          <w:sz w:val="24"/>
          <w:szCs w:val="24"/>
          <w:lang w:val="en-US"/>
        </w:rPr>
        <w:t>) of each capacity calculation region are required to develop proposals for capacity calculation methodologies and submit them to the relevant National Regulatory Authorities (</w:t>
      </w:r>
      <w:r w:rsidR="00386635">
        <w:rPr>
          <w:rFonts w:ascii="Times New Roman" w:hAnsi="Times New Roman" w:cs="Times New Roman"/>
          <w:color w:val="000000" w:themeColor="text1"/>
          <w:sz w:val="24"/>
          <w:szCs w:val="24"/>
          <w:lang w:val="en-US"/>
        </w:rPr>
        <w:t>“</w:t>
      </w:r>
      <w:r w:rsidRPr="0003154F">
        <w:rPr>
          <w:rFonts w:ascii="Times New Roman" w:hAnsi="Times New Roman" w:cs="Times New Roman"/>
          <w:b/>
          <w:bCs/>
          <w:color w:val="000000" w:themeColor="text1"/>
          <w:sz w:val="24"/>
          <w:szCs w:val="24"/>
          <w:lang w:val="en-US"/>
        </w:rPr>
        <w:t>NRAs</w:t>
      </w:r>
      <w:r w:rsidR="00386635">
        <w:rPr>
          <w:rFonts w:ascii="Times New Roman" w:hAnsi="Times New Roman" w:cs="Times New Roman"/>
          <w:color w:val="000000" w:themeColor="text1"/>
          <w:sz w:val="24"/>
          <w:szCs w:val="24"/>
          <w:lang w:val="en-US"/>
        </w:rPr>
        <w:t>”</w:t>
      </w:r>
      <w:r w:rsidRPr="0003154F">
        <w:rPr>
          <w:rFonts w:ascii="Times New Roman" w:hAnsi="Times New Roman" w:cs="Times New Roman"/>
          <w:color w:val="000000" w:themeColor="text1"/>
          <w:sz w:val="24"/>
          <w:szCs w:val="24"/>
          <w:lang w:val="en-US"/>
        </w:rPr>
        <w:t xml:space="preserve">) </w:t>
      </w:r>
      <w:r w:rsidRPr="0003154F">
        <w:rPr>
          <w:rFonts w:ascii="Times New Roman" w:hAnsi="Times New Roman" w:cs="Times New Roman"/>
          <w:color w:val="000000" w:themeColor="text1"/>
          <w:sz w:val="24"/>
          <w:szCs w:val="24"/>
          <w:lang w:val="en-US"/>
        </w:rPr>
        <w:lastRenderedPageBreak/>
        <w:t>for approval.</w:t>
      </w:r>
      <w:r w:rsidR="00386635">
        <w:rPr>
          <w:rFonts w:ascii="Times New Roman" w:hAnsi="Times New Roman" w:cs="Times New Roman"/>
          <w:color w:val="000000" w:themeColor="text1"/>
          <w:sz w:val="24"/>
          <w:szCs w:val="24"/>
          <w:lang w:val="en-US"/>
        </w:rPr>
        <w:t xml:space="preserve"> P</w:t>
      </w:r>
      <w:r w:rsidRPr="0003154F">
        <w:rPr>
          <w:rFonts w:ascii="Times New Roman" w:hAnsi="Times New Roman" w:cs="Times New Roman"/>
          <w:color w:val="000000" w:themeColor="text1"/>
          <w:sz w:val="24"/>
          <w:szCs w:val="24"/>
          <w:lang w:val="en-US"/>
        </w:rPr>
        <w:t xml:space="preserve">ursuant to Article 9(10), (11) and (12), the NRAs concerned must </w:t>
      </w:r>
      <w:r w:rsidR="0048029D">
        <w:rPr>
          <w:rFonts w:ascii="Times New Roman" w:hAnsi="Times New Roman" w:cs="Times New Roman"/>
          <w:color w:val="000000" w:themeColor="text1"/>
          <w:sz w:val="24"/>
          <w:szCs w:val="24"/>
          <w:lang w:val="en-US"/>
        </w:rPr>
        <w:t>try</w:t>
      </w:r>
      <w:r w:rsidRPr="0003154F">
        <w:rPr>
          <w:rFonts w:ascii="Times New Roman" w:hAnsi="Times New Roman" w:cs="Times New Roman"/>
          <w:color w:val="000000" w:themeColor="text1"/>
          <w:sz w:val="24"/>
          <w:szCs w:val="24"/>
          <w:lang w:val="en-US"/>
        </w:rPr>
        <w:t xml:space="preserve"> to reach an agreement and adopt a decision on the TSOs’ proposals. If no agreement can be reached, ACER is required to adopt a decision on the TSOs’ proposals or on a revised version thereof</w:t>
      </w:r>
      <w:r w:rsidR="00451766">
        <w:rPr>
          <w:rFonts w:ascii="Times New Roman" w:hAnsi="Times New Roman" w:cs="Times New Roman"/>
          <w:color w:val="000000" w:themeColor="text1"/>
          <w:sz w:val="24"/>
          <w:szCs w:val="24"/>
          <w:lang w:val="en-US"/>
        </w:rPr>
        <w:t xml:space="preserve">. </w:t>
      </w:r>
    </w:p>
    <w:p w14:paraId="41633CEA" w14:textId="69EF77CD" w:rsidR="00976CA2" w:rsidRDefault="003E0225" w:rsidP="00566BC1">
      <w:pPr>
        <w:spacing w:before="120" w:after="240" w:line="276" w:lineRule="auto"/>
        <w:jc w:val="both"/>
        <w:rPr>
          <w:rFonts w:ascii="Times New Roman" w:hAnsi="Times New Roman" w:cs="Times New Roman"/>
          <w:color w:val="000000" w:themeColor="text1"/>
          <w:sz w:val="24"/>
          <w:szCs w:val="24"/>
          <w:lang w:val="en-US"/>
        </w:rPr>
      </w:pPr>
      <w:r w:rsidRPr="003E0225">
        <w:rPr>
          <w:rFonts w:ascii="Times New Roman" w:hAnsi="Times New Roman" w:cs="Times New Roman"/>
          <w:color w:val="000000" w:themeColor="text1"/>
          <w:sz w:val="24"/>
          <w:szCs w:val="24"/>
          <w:lang w:val="en-US"/>
        </w:rPr>
        <w:t>In the present case, after</w:t>
      </w:r>
      <w:r w:rsidR="00BC36CB">
        <w:rPr>
          <w:rFonts w:ascii="Times New Roman" w:hAnsi="Times New Roman" w:cs="Times New Roman"/>
          <w:color w:val="000000" w:themeColor="text1"/>
          <w:sz w:val="24"/>
          <w:szCs w:val="24"/>
          <w:lang w:val="en-US"/>
        </w:rPr>
        <w:t xml:space="preserve"> </w:t>
      </w:r>
      <w:r w:rsidR="00BC36CB" w:rsidRPr="003E0225">
        <w:rPr>
          <w:rFonts w:ascii="Times New Roman" w:hAnsi="Times New Roman" w:cs="Times New Roman"/>
          <w:color w:val="000000" w:themeColor="text1"/>
          <w:sz w:val="24"/>
          <w:szCs w:val="24"/>
          <w:lang w:val="en-US"/>
        </w:rPr>
        <w:t>the NRAs failed to reach an agreement on the proposals</w:t>
      </w:r>
      <w:r w:rsidRPr="003E0225">
        <w:rPr>
          <w:rFonts w:ascii="Times New Roman" w:hAnsi="Times New Roman" w:cs="Times New Roman"/>
          <w:color w:val="000000" w:themeColor="text1"/>
          <w:sz w:val="24"/>
          <w:szCs w:val="24"/>
          <w:lang w:val="en-US"/>
        </w:rPr>
        <w:t xml:space="preserve"> </w:t>
      </w:r>
      <w:r w:rsidR="00BC36CB">
        <w:rPr>
          <w:rFonts w:ascii="Times New Roman" w:hAnsi="Times New Roman" w:cs="Times New Roman"/>
          <w:color w:val="000000" w:themeColor="text1"/>
          <w:sz w:val="24"/>
          <w:szCs w:val="24"/>
          <w:lang w:val="en-US"/>
        </w:rPr>
        <w:t xml:space="preserve">submitted to them by </w:t>
      </w:r>
      <w:r w:rsidRPr="003E0225">
        <w:rPr>
          <w:rFonts w:ascii="Times New Roman" w:hAnsi="Times New Roman" w:cs="Times New Roman"/>
          <w:color w:val="000000" w:themeColor="text1"/>
          <w:sz w:val="24"/>
          <w:szCs w:val="24"/>
          <w:lang w:val="en-US"/>
        </w:rPr>
        <w:t>the TSOs of the Core region</w:t>
      </w:r>
      <w:r w:rsidR="00BC36CB">
        <w:rPr>
          <w:rFonts w:ascii="Times New Roman" w:hAnsi="Times New Roman" w:cs="Times New Roman"/>
          <w:color w:val="000000" w:themeColor="text1"/>
          <w:sz w:val="24"/>
          <w:szCs w:val="24"/>
          <w:lang w:val="en-US"/>
        </w:rPr>
        <w:t xml:space="preserve">, </w:t>
      </w:r>
      <w:r w:rsidRPr="003E0225">
        <w:rPr>
          <w:rFonts w:ascii="Times New Roman" w:hAnsi="Times New Roman" w:cs="Times New Roman"/>
          <w:color w:val="000000" w:themeColor="text1"/>
          <w:sz w:val="24"/>
          <w:szCs w:val="24"/>
          <w:lang w:val="en-US"/>
        </w:rPr>
        <w:t>the matter was referred to ACER</w:t>
      </w:r>
      <w:r w:rsidR="00455152">
        <w:rPr>
          <w:rFonts w:ascii="Times New Roman" w:hAnsi="Times New Roman" w:cs="Times New Roman"/>
          <w:color w:val="000000" w:themeColor="text1"/>
          <w:sz w:val="24"/>
          <w:szCs w:val="24"/>
          <w:lang w:val="en-US"/>
        </w:rPr>
        <w:t>,</w:t>
      </w:r>
      <w:r w:rsidRPr="003E0225">
        <w:rPr>
          <w:rFonts w:ascii="Times New Roman" w:hAnsi="Times New Roman" w:cs="Times New Roman"/>
          <w:color w:val="000000" w:themeColor="text1"/>
          <w:sz w:val="24"/>
          <w:szCs w:val="24"/>
          <w:lang w:val="en-US"/>
        </w:rPr>
        <w:t xml:space="preserve"> which </w:t>
      </w:r>
      <w:r w:rsidR="00455152" w:rsidRPr="003E0225">
        <w:rPr>
          <w:rFonts w:ascii="Times New Roman" w:hAnsi="Times New Roman" w:cs="Times New Roman"/>
          <w:color w:val="000000" w:themeColor="text1"/>
          <w:sz w:val="24"/>
          <w:szCs w:val="24"/>
          <w:lang w:val="en-US"/>
        </w:rPr>
        <w:t xml:space="preserve">adopted modified versions of the </w:t>
      </w:r>
      <w:r w:rsidR="00455152">
        <w:rPr>
          <w:rFonts w:ascii="Times New Roman" w:hAnsi="Times New Roman" w:cs="Times New Roman"/>
          <w:color w:val="000000" w:themeColor="text1"/>
          <w:sz w:val="24"/>
          <w:szCs w:val="24"/>
          <w:lang w:val="en-US"/>
        </w:rPr>
        <w:t xml:space="preserve">regional design of the </w:t>
      </w:r>
      <w:r w:rsidR="00455152" w:rsidRPr="003E0225">
        <w:rPr>
          <w:rFonts w:ascii="Times New Roman" w:hAnsi="Times New Roman" w:cs="Times New Roman"/>
          <w:color w:val="000000" w:themeColor="text1"/>
          <w:sz w:val="24"/>
          <w:szCs w:val="24"/>
          <w:lang w:val="en-US"/>
        </w:rPr>
        <w:t xml:space="preserve">common </w:t>
      </w:r>
      <w:r w:rsidR="00455152">
        <w:rPr>
          <w:rFonts w:ascii="Times New Roman" w:hAnsi="Times New Roman" w:cs="Times New Roman"/>
          <w:color w:val="000000" w:themeColor="text1"/>
          <w:sz w:val="24"/>
          <w:szCs w:val="24"/>
          <w:lang w:val="en-US"/>
        </w:rPr>
        <w:t xml:space="preserve">capacity calculation </w:t>
      </w:r>
      <w:r w:rsidR="00455152" w:rsidRPr="003E0225">
        <w:rPr>
          <w:rFonts w:ascii="Times New Roman" w:hAnsi="Times New Roman" w:cs="Times New Roman"/>
          <w:color w:val="000000" w:themeColor="text1"/>
          <w:sz w:val="24"/>
          <w:szCs w:val="24"/>
          <w:lang w:val="en-US"/>
        </w:rPr>
        <w:t xml:space="preserve">methodologies </w:t>
      </w:r>
      <w:r w:rsidRPr="003E0225">
        <w:rPr>
          <w:rFonts w:ascii="Times New Roman" w:hAnsi="Times New Roman" w:cs="Times New Roman"/>
          <w:color w:val="000000" w:themeColor="text1"/>
          <w:sz w:val="24"/>
          <w:szCs w:val="24"/>
          <w:lang w:val="en-US"/>
        </w:rPr>
        <w:t>through Decision No</w:t>
      </w:r>
      <w:r w:rsidR="0071655A">
        <w:rPr>
          <w:rFonts w:ascii="Times New Roman" w:hAnsi="Times New Roman" w:cs="Times New Roman"/>
          <w:color w:val="000000" w:themeColor="text1"/>
          <w:sz w:val="24"/>
          <w:szCs w:val="24"/>
          <w:lang w:val="en-US"/>
        </w:rPr>
        <w:t xml:space="preserve"> 0</w:t>
      </w:r>
      <w:r w:rsidRPr="003E0225">
        <w:rPr>
          <w:rFonts w:ascii="Times New Roman" w:hAnsi="Times New Roman" w:cs="Times New Roman"/>
          <w:color w:val="000000" w:themeColor="text1"/>
          <w:sz w:val="24"/>
          <w:szCs w:val="24"/>
          <w:lang w:val="en-US"/>
        </w:rPr>
        <w:t>2/2019</w:t>
      </w:r>
      <w:r w:rsidR="00976CA2">
        <w:rPr>
          <w:rFonts w:ascii="Times New Roman" w:hAnsi="Times New Roman" w:cs="Times New Roman"/>
          <w:color w:val="000000" w:themeColor="text1"/>
          <w:sz w:val="24"/>
          <w:szCs w:val="24"/>
          <w:lang w:val="en-US"/>
        </w:rPr>
        <w:t xml:space="preserve"> (“</w:t>
      </w:r>
      <w:r w:rsidR="00976CA2" w:rsidRPr="00D222D0">
        <w:rPr>
          <w:rFonts w:ascii="Times New Roman" w:hAnsi="Times New Roman" w:cs="Times New Roman"/>
          <w:b/>
          <w:bCs/>
          <w:color w:val="000000" w:themeColor="text1"/>
          <w:sz w:val="24"/>
          <w:szCs w:val="24"/>
          <w:lang w:val="en-US"/>
        </w:rPr>
        <w:t xml:space="preserve">ACER </w:t>
      </w:r>
      <w:r w:rsidR="0097730F">
        <w:rPr>
          <w:rFonts w:ascii="Times New Roman" w:hAnsi="Times New Roman" w:cs="Times New Roman"/>
          <w:b/>
          <w:bCs/>
          <w:color w:val="000000" w:themeColor="text1"/>
          <w:sz w:val="24"/>
          <w:szCs w:val="24"/>
          <w:lang w:val="en-US"/>
        </w:rPr>
        <w:t xml:space="preserve">First </w:t>
      </w:r>
      <w:r w:rsidR="00976CA2" w:rsidRPr="00D222D0">
        <w:rPr>
          <w:rFonts w:ascii="Times New Roman" w:hAnsi="Times New Roman" w:cs="Times New Roman"/>
          <w:b/>
          <w:bCs/>
          <w:color w:val="000000" w:themeColor="text1"/>
          <w:sz w:val="24"/>
          <w:szCs w:val="24"/>
          <w:lang w:val="en-US"/>
        </w:rPr>
        <w:t>Decision</w:t>
      </w:r>
      <w:r w:rsidR="00976CA2">
        <w:rPr>
          <w:rFonts w:ascii="Times New Roman" w:hAnsi="Times New Roman" w:cs="Times New Roman"/>
          <w:color w:val="000000" w:themeColor="text1"/>
          <w:sz w:val="24"/>
          <w:szCs w:val="24"/>
          <w:lang w:val="en-US"/>
        </w:rPr>
        <w:t>”)</w:t>
      </w:r>
      <w:r w:rsidRPr="003E0225">
        <w:rPr>
          <w:rFonts w:ascii="Times New Roman" w:hAnsi="Times New Roman" w:cs="Times New Roman"/>
          <w:color w:val="000000" w:themeColor="text1"/>
          <w:sz w:val="24"/>
          <w:szCs w:val="24"/>
          <w:lang w:val="en-US"/>
        </w:rPr>
        <w:t>.</w:t>
      </w:r>
      <w:r w:rsidR="00C878BB">
        <w:rPr>
          <w:rFonts w:ascii="Times New Roman" w:hAnsi="Times New Roman" w:cs="Times New Roman"/>
          <w:color w:val="000000" w:themeColor="text1"/>
          <w:sz w:val="24"/>
          <w:szCs w:val="24"/>
          <w:lang w:val="en-US"/>
        </w:rPr>
        <w:t xml:space="preserve"> </w:t>
      </w:r>
    </w:p>
    <w:p w14:paraId="01BC3339" w14:textId="4BA21F1D" w:rsidR="004455F8" w:rsidRDefault="0097730F" w:rsidP="00566BC1">
      <w:pPr>
        <w:spacing w:before="120" w:after="240" w:line="276" w:lineRule="auto"/>
        <w:jc w:val="both"/>
        <w:rPr>
          <w:rFonts w:ascii="Times New Roman" w:hAnsi="Times New Roman" w:cs="Times New Roman"/>
          <w:color w:val="000000" w:themeColor="text1"/>
          <w:sz w:val="24"/>
          <w:szCs w:val="24"/>
          <w:lang w:val="en-US"/>
        </w:rPr>
      </w:pPr>
      <w:r w:rsidRPr="00AC41C1">
        <w:rPr>
          <w:rFonts w:ascii="Times New Roman" w:hAnsi="Times New Roman" w:cs="Times New Roman"/>
          <w:b/>
          <w:bCs/>
          <w:color w:val="000000" w:themeColor="text1"/>
          <w:sz w:val="24"/>
          <w:szCs w:val="24"/>
          <w:lang w:val="en-US"/>
        </w:rPr>
        <w:t xml:space="preserve">ACER </w:t>
      </w:r>
      <w:r>
        <w:rPr>
          <w:rFonts w:ascii="Times New Roman" w:hAnsi="Times New Roman" w:cs="Times New Roman"/>
          <w:b/>
          <w:bCs/>
          <w:color w:val="000000" w:themeColor="text1"/>
          <w:sz w:val="24"/>
          <w:szCs w:val="24"/>
          <w:lang w:val="en-US"/>
        </w:rPr>
        <w:t xml:space="preserve">First </w:t>
      </w:r>
      <w:r w:rsidRPr="00AC41C1">
        <w:rPr>
          <w:rFonts w:ascii="Times New Roman" w:hAnsi="Times New Roman" w:cs="Times New Roman"/>
          <w:b/>
          <w:bCs/>
          <w:color w:val="000000" w:themeColor="text1"/>
          <w:sz w:val="24"/>
          <w:szCs w:val="24"/>
          <w:lang w:val="en-US"/>
        </w:rPr>
        <w:t>Decision</w:t>
      </w:r>
      <w:r>
        <w:rPr>
          <w:rFonts w:ascii="Times New Roman" w:hAnsi="Times New Roman" w:cs="Times New Roman"/>
          <w:color w:val="000000" w:themeColor="text1"/>
          <w:sz w:val="24"/>
          <w:szCs w:val="24"/>
          <w:lang w:val="en-US"/>
        </w:rPr>
        <w:t xml:space="preserve"> </w:t>
      </w:r>
      <w:r w:rsidR="00A90668">
        <w:rPr>
          <w:rFonts w:ascii="Times New Roman" w:hAnsi="Times New Roman" w:cs="Times New Roman"/>
          <w:color w:val="000000" w:themeColor="text1"/>
          <w:sz w:val="24"/>
          <w:szCs w:val="24"/>
          <w:lang w:val="en-US"/>
        </w:rPr>
        <w:t xml:space="preserve">was immediately </w:t>
      </w:r>
      <w:r w:rsidR="000964D4">
        <w:rPr>
          <w:rFonts w:ascii="Times New Roman" w:hAnsi="Times New Roman" w:cs="Times New Roman"/>
          <w:color w:val="000000" w:themeColor="text1"/>
          <w:sz w:val="24"/>
          <w:szCs w:val="24"/>
          <w:lang w:val="en-US"/>
        </w:rPr>
        <w:t>appealed</w:t>
      </w:r>
      <w:r w:rsidR="004455F8">
        <w:rPr>
          <w:rFonts w:ascii="Times New Roman" w:hAnsi="Times New Roman" w:cs="Times New Roman"/>
          <w:color w:val="000000" w:themeColor="text1"/>
          <w:sz w:val="24"/>
          <w:szCs w:val="24"/>
          <w:lang w:val="en-US"/>
        </w:rPr>
        <w:t>, on 23 April 2019,</w:t>
      </w:r>
      <w:r w:rsidR="00A90668">
        <w:rPr>
          <w:rFonts w:ascii="Times New Roman" w:hAnsi="Times New Roman" w:cs="Times New Roman"/>
          <w:color w:val="000000" w:themeColor="text1"/>
          <w:sz w:val="24"/>
          <w:szCs w:val="24"/>
          <w:lang w:val="en-US"/>
        </w:rPr>
        <w:t xml:space="preserve"> by </w:t>
      </w:r>
      <w:r w:rsidR="00A9021A" w:rsidRPr="00A9021A">
        <w:rPr>
          <w:rFonts w:ascii="Times New Roman" w:hAnsi="Times New Roman" w:cs="Times New Roman"/>
          <w:color w:val="000000" w:themeColor="text1"/>
          <w:sz w:val="24"/>
          <w:szCs w:val="24"/>
          <w:lang w:val="en-US"/>
        </w:rPr>
        <w:t xml:space="preserve">Germany’s regulatory authority, </w:t>
      </w:r>
      <w:r w:rsidR="00A90668" w:rsidRPr="00D222D0">
        <w:rPr>
          <w:rFonts w:ascii="Times New Roman" w:hAnsi="Times New Roman" w:cs="Times New Roman"/>
          <w:i/>
          <w:iCs/>
          <w:color w:val="000000" w:themeColor="text1"/>
          <w:sz w:val="24"/>
          <w:szCs w:val="24"/>
          <w:lang w:val="en-US"/>
        </w:rPr>
        <w:t>Bundesnetzagentur für Elektrizität, Gas, Telekommunikation, Post und Eisenbahnen</w:t>
      </w:r>
      <w:r w:rsidR="00A90668" w:rsidRPr="00A90668">
        <w:rPr>
          <w:rFonts w:ascii="Times New Roman" w:hAnsi="Times New Roman" w:cs="Times New Roman"/>
          <w:color w:val="000000" w:themeColor="text1"/>
          <w:sz w:val="24"/>
          <w:szCs w:val="24"/>
          <w:lang w:val="en-US"/>
        </w:rPr>
        <w:t xml:space="preserve"> </w:t>
      </w:r>
      <w:r w:rsidR="00A90668">
        <w:rPr>
          <w:rFonts w:ascii="Times New Roman" w:hAnsi="Times New Roman" w:cs="Times New Roman"/>
          <w:color w:val="000000" w:themeColor="text1"/>
          <w:sz w:val="24"/>
          <w:szCs w:val="24"/>
          <w:lang w:val="en-US"/>
        </w:rPr>
        <w:t>(“</w:t>
      </w:r>
      <w:r w:rsidR="00A9021A" w:rsidRPr="00A90668">
        <w:rPr>
          <w:rFonts w:ascii="Times New Roman" w:hAnsi="Times New Roman" w:cs="Times New Roman"/>
          <w:b/>
          <w:bCs/>
          <w:color w:val="000000" w:themeColor="text1"/>
          <w:sz w:val="24"/>
          <w:szCs w:val="24"/>
          <w:lang w:val="en-US"/>
        </w:rPr>
        <w:t>BNetzA</w:t>
      </w:r>
      <w:r w:rsidR="00A90668">
        <w:rPr>
          <w:rFonts w:ascii="Times New Roman" w:hAnsi="Times New Roman" w:cs="Times New Roman"/>
          <w:color w:val="000000" w:themeColor="text1"/>
          <w:sz w:val="24"/>
          <w:szCs w:val="24"/>
          <w:lang w:val="en-US"/>
        </w:rPr>
        <w:t>”)</w:t>
      </w:r>
      <w:r w:rsidR="00A9021A" w:rsidRPr="00A9021A">
        <w:rPr>
          <w:rFonts w:ascii="Times New Roman" w:hAnsi="Times New Roman" w:cs="Times New Roman"/>
          <w:color w:val="000000" w:themeColor="text1"/>
          <w:sz w:val="24"/>
          <w:szCs w:val="24"/>
          <w:lang w:val="en-US"/>
        </w:rPr>
        <w:t xml:space="preserve">, </w:t>
      </w:r>
      <w:r w:rsidR="00847CA9">
        <w:rPr>
          <w:rFonts w:ascii="Times New Roman" w:hAnsi="Times New Roman" w:cs="Times New Roman"/>
          <w:color w:val="000000" w:themeColor="text1"/>
          <w:sz w:val="24"/>
          <w:szCs w:val="24"/>
          <w:lang w:val="en-US"/>
        </w:rPr>
        <w:t>before</w:t>
      </w:r>
      <w:r w:rsidR="00E60B58">
        <w:rPr>
          <w:rFonts w:ascii="Times New Roman" w:hAnsi="Times New Roman" w:cs="Times New Roman"/>
          <w:color w:val="000000" w:themeColor="text1"/>
          <w:sz w:val="24"/>
          <w:szCs w:val="24"/>
          <w:lang w:val="en-US"/>
        </w:rPr>
        <w:t xml:space="preserve"> </w:t>
      </w:r>
      <w:r w:rsidR="00A9021A" w:rsidRPr="00A9021A">
        <w:rPr>
          <w:rFonts w:ascii="Times New Roman" w:hAnsi="Times New Roman" w:cs="Times New Roman"/>
          <w:color w:val="000000" w:themeColor="text1"/>
          <w:sz w:val="24"/>
          <w:szCs w:val="24"/>
          <w:lang w:val="en-US"/>
        </w:rPr>
        <w:t>ACER’s Board of Appeal</w:t>
      </w:r>
      <w:r w:rsidR="007050F0">
        <w:rPr>
          <w:rFonts w:ascii="Times New Roman" w:hAnsi="Times New Roman" w:cs="Times New Roman"/>
          <w:color w:val="000000" w:themeColor="text1"/>
          <w:sz w:val="24"/>
          <w:szCs w:val="24"/>
          <w:lang w:val="en-US"/>
        </w:rPr>
        <w:t>,</w:t>
      </w:r>
      <w:r w:rsidR="00DA09C3">
        <w:rPr>
          <w:rFonts w:ascii="Times New Roman" w:hAnsi="Times New Roman" w:cs="Times New Roman"/>
          <w:color w:val="000000" w:themeColor="text1"/>
          <w:sz w:val="24"/>
          <w:szCs w:val="24"/>
          <w:lang w:val="en-US"/>
        </w:rPr>
        <w:t xml:space="preserve"> </w:t>
      </w:r>
      <w:r w:rsidR="00FE2E1B">
        <w:rPr>
          <w:rFonts w:ascii="Times New Roman" w:hAnsi="Times New Roman" w:cs="Times New Roman"/>
          <w:color w:val="000000" w:themeColor="text1"/>
          <w:sz w:val="24"/>
          <w:szCs w:val="24"/>
          <w:lang w:val="en-US"/>
        </w:rPr>
        <w:t>as well as</w:t>
      </w:r>
      <w:r w:rsidR="004455F8">
        <w:rPr>
          <w:rFonts w:ascii="Times New Roman" w:hAnsi="Times New Roman" w:cs="Times New Roman"/>
          <w:color w:val="000000" w:themeColor="text1"/>
          <w:sz w:val="24"/>
          <w:szCs w:val="24"/>
          <w:lang w:val="en-US"/>
        </w:rPr>
        <w:t xml:space="preserve"> by </w:t>
      </w:r>
      <w:r w:rsidR="00FE2E1B">
        <w:rPr>
          <w:rFonts w:ascii="Times New Roman" w:hAnsi="Times New Roman" w:cs="Times New Roman"/>
          <w:color w:val="000000" w:themeColor="text1"/>
          <w:sz w:val="24"/>
          <w:szCs w:val="24"/>
          <w:lang w:val="en-US"/>
        </w:rPr>
        <w:t xml:space="preserve">the Federal Republic of Germany before the General Court on 2 May 2019. </w:t>
      </w:r>
    </w:p>
    <w:p w14:paraId="06B470DC" w14:textId="76B9616D" w:rsidR="0097730F" w:rsidRDefault="00FE2E1B" w:rsidP="00566BC1">
      <w:pPr>
        <w:spacing w:before="120" w:after="240" w:line="276"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On 11 July 2019, however, by Decision A-003-2019 (“</w:t>
      </w:r>
      <w:r w:rsidRPr="002316C7">
        <w:rPr>
          <w:rFonts w:ascii="Times New Roman" w:hAnsi="Times New Roman" w:cs="Times New Roman"/>
          <w:b/>
          <w:bCs/>
          <w:color w:val="000000" w:themeColor="text1"/>
          <w:sz w:val="24"/>
          <w:szCs w:val="24"/>
          <w:lang w:val="en-US"/>
        </w:rPr>
        <w:t>ACER Appeal Decision</w:t>
      </w:r>
      <w:r>
        <w:rPr>
          <w:rFonts w:ascii="Times New Roman" w:hAnsi="Times New Roman" w:cs="Times New Roman"/>
          <w:color w:val="000000" w:themeColor="text1"/>
          <w:sz w:val="24"/>
          <w:szCs w:val="24"/>
          <w:lang w:val="en-US"/>
        </w:rPr>
        <w:t xml:space="preserve">”), </w:t>
      </w:r>
      <w:commentRangeStart w:id="7"/>
      <w:commentRangeEnd w:id="7"/>
      <w:r>
        <w:rPr>
          <w:rStyle w:val="Rimandocommento"/>
        </w:rPr>
        <w:commentReference w:id="7"/>
      </w:r>
      <w:r>
        <w:rPr>
          <w:rFonts w:ascii="Times New Roman" w:hAnsi="Times New Roman" w:cs="Times New Roman"/>
          <w:color w:val="000000" w:themeColor="text1"/>
          <w:sz w:val="24"/>
          <w:szCs w:val="24"/>
          <w:lang w:val="en-US"/>
        </w:rPr>
        <w:t xml:space="preserve">ACER’s Board of Appeal </w:t>
      </w:r>
      <w:r w:rsidR="00CE5B0E">
        <w:rPr>
          <w:rFonts w:ascii="Times New Roman" w:hAnsi="Times New Roman" w:cs="Times New Roman"/>
          <w:color w:val="000000" w:themeColor="text1"/>
          <w:sz w:val="24"/>
          <w:szCs w:val="24"/>
          <w:lang w:val="en-US"/>
        </w:rPr>
        <w:t xml:space="preserve">dismissed the appeal </w:t>
      </w:r>
      <w:r>
        <w:rPr>
          <w:rFonts w:ascii="Times New Roman" w:hAnsi="Times New Roman" w:cs="Times New Roman"/>
          <w:color w:val="000000" w:themeColor="text1"/>
          <w:sz w:val="24"/>
          <w:szCs w:val="24"/>
          <w:lang w:val="en-US"/>
        </w:rPr>
        <w:t xml:space="preserve">brought by BNetzA against the initial decision. </w:t>
      </w:r>
      <w:r w:rsidDel="00FE2E1B">
        <w:rPr>
          <w:rFonts w:ascii="Times New Roman" w:hAnsi="Times New Roman" w:cs="Times New Roman"/>
          <w:color w:val="000000" w:themeColor="text1"/>
          <w:sz w:val="24"/>
          <w:szCs w:val="24"/>
          <w:lang w:val="en-US"/>
        </w:rPr>
        <w:t xml:space="preserve"> </w:t>
      </w:r>
    </w:p>
    <w:p w14:paraId="4DD4DB41" w14:textId="3756127D" w:rsidR="00CF0C8D" w:rsidRDefault="00FE2E1B" w:rsidP="00566BC1">
      <w:pPr>
        <w:spacing w:before="120" w:after="240" w:line="276" w:lineRule="auto"/>
        <w:jc w:val="both"/>
        <w:rPr>
          <w:rFonts w:ascii="Times New Roman" w:hAnsi="Times New Roman" w:cs="Times New Roman"/>
          <w:color w:val="000000" w:themeColor="text1"/>
          <w:sz w:val="24"/>
          <w:szCs w:val="24"/>
          <w:lang w:val="en-US"/>
        </w:rPr>
      </w:pPr>
      <w:r w:rsidRPr="004A741B">
        <w:rPr>
          <w:rFonts w:ascii="Times New Roman" w:hAnsi="Times New Roman" w:cs="Times New Roman"/>
          <w:color w:val="000000" w:themeColor="text1"/>
          <w:sz w:val="24"/>
          <w:szCs w:val="24"/>
          <w:lang w:val="en-US"/>
        </w:rPr>
        <w:t xml:space="preserve">Despite this, </w:t>
      </w:r>
      <w:r>
        <w:rPr>
          <w:rFonts w:ascii="Times New Roman" w:hAnsi="Times New Roman" w:cs="Times New Roman"/>
          <w:color w:val="000000" w:themeColor="text1"/>
          <w:sz w:val="24"/>
          <w:szCs w:val="24"/>
          <w:lang w:val="en-US"/>
        </w:rPr>
        <w:t>BNetzA</w:t>
      </w:r>
      <w:r w:rsidRPr="00FE2E1B">
        <w:rPr>
          <w:rFonts w:ascii="Times New Roman" w:hAnsi="Times New Roman" w:cs="Times New Roman"/>
          <w:color w:val="000000" w:themeColor="text1"/>
          <w:sz w:val="24"/>
          <w:szCs w:val="24"/>
          <w:lang w:val="en-US"/>
        </w:rPr>
        <w:t xml:space="preserve"> </w:t>
      </w:r>
      <w:r w:rsidRPr="004A741B">
        <w:rPr>
          <w:rFonts w:ascii="Times New Roman" w:hAnsi="Times New Roman" w:cs="Times New Roman"/>
          <w:color w:val="000000" w:themeColor="text1"/>
          <w:sz w:val="24"/>
          <w:szCs w:val="24"/>
          <w:lang w:val="en-US"/>
        </w:rPr>
        <w:t>did not surrender and</w:t>
      </w:r>
      <w:r>
        <w:rPr>
          <w:rFonts w:ascii="Times New Roman" w:hAnsi="Times New Roman" w:cs="Times New Roman"/>
          <w:color w:val="000000" w:themeColor="text1"/>
          <w:sz w:val="24"/>
          <w:szCs w:val="24"/>
          <w:lang w:val="en-US"/>
        </w:rPr>
        <w:t xml:space="preserve">, on 21 September 2019, brought an action before the General Court seeking the partial annulment of ACER First Decision, as well as the annulment of ACER Appeal Decision. In 2022, </w:t>
      </w:r>
      <w:r w:rsidR="00A9021A" w:rsidRPr="00A9021A">
        <w:rPr>
          <w:rFonts w:ascii="Times New Roman" w:hAnsi="Times New Roman" w:cs="Times New Roman"/>
          <w:color w:val="000000" w:themeColor="text1"/>
          <w:sz w:val="24"/>
          <w:szCs w:val="24"/>
          <w:lang w:val="en-US"/>
        </w:rPr>
        <w:t xml:space="preserve">the General Court annulled </w:t>
      </w:r>
      <w:r w:rsidRPr="002316C7">
        <w:rPr>
          <w:rFonts w:ascii="Times New Roman" w:hAnsi="Times New Roman" w:cs="Times New Roman"/>
          <w:b/>
          <w:bCs/>
          <w:color w:val="000000" w:themeColor="text1"/>
          <w:sz w:val="24"/>
          <w:szCs w:val="24"/>
          <w:lang w:val="en-US"/>
        </w:rPr>
        <w:t>ACER Appeal Decision</w:t>
      </w:r>
      <w:r w:rsidR="00A9021A" w:rsidRPr="00A9021A">
        <w:rPr>
          <w:rFonts w:ascii="Times New Roman" w:hAnsi="Times New Roman" w:cs="Times New Roman"/>
          <w:color w:val="000000" w:themeColor="text1"/>
          <w:sz w:val="24"/>
          <w:szCs w:val="24"/>
          <w:lang w:val="en-US"/>
        </w:rPr>
        <w:t xml:space="preserve">, stating that </w:t>
      </w:r>
      <w:r>
        <w:rPr>
          <w:rFonts w:ascii="Times New Roman" w:hAnsi="Times New Roman" w:cs="Times New Roman"/>
          <w:color w:val="000000" w:themeColor="text1"/>
          <w:sz w:val="24"/>
          <w:szCs w:val="24"/>
          <w:lang w:val="en-US"/>
        </w:rPr>
        <w:t xml:space="preserve">the Board of </w:t>
      </w:r>
      <w:r w:rsidR="0045788B">
        <w:rPr>
          <w:rFonts w:ascii="Times New Roman" w:hAnsi="Times New Roman" w:cs="Times New Roman"/>
          <w:color w:val="000000" w:themeColor="text1"/>
          <w:sz w:val="24"/>
          <w:szCs w:val="24"/>
          <w:lang w:val="en-US"/>
        </w:rPr>
        <w:t xml:space="preserve">Appeal </w:t>
      </w:r>
      <w:r w:rsidR="0045788B" w:rsidRPr="00A9021A">
        <w:rPr>
          <w:rFonts w:ascii="Times New Roman" w:hAnsi="Times New Roman" w:cs="Times New Roman"/>
          <w:color w:val="000000" w:themeColor="text1"/>
          <w:sz w:val="24"/>
          <w:szCs w:val="24"/>
          <w:lang w:val="en-US"/>
        </w:rPr>
        <w:t>had</w:t>
      </w:r>
      <w:r w:rsidR="00A9021A" w:rsidRPr="00A9021A">
        <w:rPr>
          <w:rFonts w:ascii="Times New Roman" w:hAnsi="Times New Roman" w:cs="Times New Roman"/>
          <w:color w:val="000000" w:themeColor="text1"/>
          <w:sz w:val="24"/>
          <w:szCs w:val="24"/>
          <w:lang w:val="en-US"/>
        </w:rPr>
        <w:t xml:space="preserve"> failed to properly assess whether the approved methodologies complied with the requirements under </w:t>
      </w:r>
      <w:r w:rsidR="00482B62">
        <w:rPr>
          <w:rFonts w:ascii="Times New Roman" w:hAnsi="Times New Roman" w:cs="Times New Roman"/>
          <w:color w:val="000000" w:themeColor="text1"/>
          <w:sz w:val="24"/>
          <w:szCs w:val="24"/>
          <w:lang w:val="en-US"/>
        </w:rPr>
        <w:t xml:space="preserve">the new </w:t>
      </w:r>
      <w:r w:rsidR="00A9021A" w:rsidRPr="00A9021A">
        <w:rPr>
          <w:rFonts w:ascii="Times New Roman" w:hAnsi="Times New Roman" w:cs="Times New Roman"/>
          <w:color w:val="000000" w:themeColor="text1"/>
          <w:sz w:val="24"/>
          <w:szCs w:val="24"/>
          <w:lang w:val="en-US"/>
        </w:rPr>
        <w:t xml:space="preserve">Regulation </w:t>
      </w:r>
      <w:r w:rsidR="006C1AFB">
        <w:rPr>
          <w:rFonts w:ascii="Times New Roman" w:hAnsi="Times New Roman" w:cs="Times New Roman"/>
          <w:color w:val="000000" w:themeColor="text1"/>
          <w:sz w:val="24"/>
          <w:szCs w:val="24"/>
          <w:lang w:val="en-US"/>
        </w:rPr>
        <w:t xml:space="preserve">(EU) </w:t>
      </w:r>
      <w:r w:rsidR="00A9021A" w:rsidRPr="00A9021A">
        <w:rPr>
          <w:rFonts w:ascii="Times New Roman" w:hAnsi="Times New Roman" w:cs="Times New Roman"/>
          <w:color w:val="000000" w:themeColor="text1"/>
          <w:sz w:val="24"/>
          <w:szCs w:val="24"/>
          <w:lang w:val="en-US"/>
        </w:rPr>
        <w:t>2019/943</w:t>
      </w:r>
      <w:r w:rsidR="00482B62">
        <w:rPr>
          <w:rFonts w:ascii="Times New Roman" w:hAnsi="Times New Roman" w:cs="Times New Roman"/>
          <w:color w:val="000000" w:themeColor="text1"/>
          <w:sz w:val="24"/>
          <w:szCs w:val="24"/>
          <w:lang w:val="en-US"/>
        </w:rPr>
        <w:t xml:space="preserve"> </w:t>
      </w:r>
      <w:r w:rsidR="00DA09C3" w:rsidRPr="00A9021A">
        <w:rPr>
          <w:rFonts w:ascii="Times New Roman" w:hAnsi="Times New Roman" w:cs="Times New Roman"/>
          <w:color w:val="000000" w:themeColor="text1"/>
          <w:sz w:val="24"/>
          <w:szCs w:val="24"/>
          <w:lang w:val="en-US"/>
        </w:rPr>
        <w:t>on the internal electricity market</w:t>
      </w:r>
      <w:r w:rsidR="00E82E36">
        <w:rPr>
          <w:rFonts w:ascii="Times New Roman" w:hAnsi="Times New Roman" w:cs="Times New Roman"/>
          <w:color w:val="000000" w:themeColor="text1"/>
          <w:sz w:val="24"/>
          <w:szCs w:val="24"/>
          <w:lang w:val="en-US"/>
        </w:rPr>
        <w:t>, which</w:t>
      </w:r>
      <w:r w:rsidR="00482B62">
        <w:rPr>
          <w:rFonts w:ascii="Times New Roman" w:hAnsi="Times New Roman" w:cs="Times New Roman"/>
          <w:color w:val="000000" w:themeColor="text1"/>
          <w:sz w:val="24"/>
          <w:szCs w:val="24"/>
          <w:lang w:val="en-US"/>
        </w:rPr>
        <w:t xml:space="preserve"> had in the meantime been approved and </w:t>
      </w:r>
      <w:r w:rsidR="00482B62" w:rsidRPr="00A9021A">
        <w:rPr>
          <w:rFonts w:ascii="Times New Roman" w:hAnsi="Times New Roman" w:cs="Times New Roman"/>
          <w:color w:val="000000" w:themeColor="text1"/>
          <w:sz w:val="24"/>
          <w:szCs w:val="24"/>
          <w:lang w:val="en-US"/>
        </w:rPr>
        <w:t xml:space="preserve">repealed the previous Regulation </w:t>
      </w:r>
      <w:r w:rsidR="00482B62">
        <w:rPr>
          <w:rFonts w:ascii="Times New Roman" w:hAnsi="Times New Roman" w:cs="Times New Roman"/>
          <w:color w:val="000000" w:themeColor="text1"/>
          <w:sz w:val="24"/>
          <w:szCs w:val="24"/>
          <w:lang w:val="en-US"/>
        </w:rPr>
        <w:t xml:space="preserve">No </w:t>
      </w:r>
      <w:r w:rsidR="00482B62" w:rsidRPr="00A9021A">
        <w:rPr>
          <w:rFonts w:ascii="Times New Roman" w:hAnsi="Times New Roman" w:cs="Times New Roman"/>
          <w:color w:val="000000" w:themeColor="text1"/>
          <w:sz w:val="24"/>
          <w:szCs w:val="24"/>
          <w:lang w:val="en-US"/>
        </w:rPr>
        <w:t>714/</w:t>
      </w:r>
      <w:commentRangeStart w:id="8"/>
      <w:r w:rsidR="00482B62" w:rsidRPr="00A9021A">
        <w:rPr>
          <w:rFonts w:ascii="Times New Roman" w:hAnsi="Times New Roman" w:cs="Times New Roman"/>
          <w:color w:val="000000" w:themeColor="text1"/>
          <w:sz w:val="24"/>
          <w:szCs w:val="24"/>
          <w:lang w:val="en-US"/>
        </w:rPr>
        <w:t>2009</w:t>
      </w:r>
      <w:commentRangeEnd w:id="8"/>
      <w:r w:rsidR="008A20D2">
        <w:rPr>
          <w:rStyle w:val="Rimandocommento"/>
        </w:rPr>
        <w:commentReference w:id="8"/>
      </w:r>
      <w:r w:rsidR="00B30931">
        <w:rPr>
          <w:rStyle w:val="Rimandonotaapidipagina"/>
          <w:rFonts w:ascii="Times New Roman" w:hAnsi="Times New Roman" w:cs="Times New Roman"/>
          <w:color w:val="000000" w:themeColor="text1"/>
          <w:sz w:val="24"/>
          <w:szCs w:val="24"/>
          <w:lang w:val="en-US"/>
        </w:rPr>
        <w:footnoteReference w:id="9"/>
      </w:r>
      <w:r w:rsidR="00A9021A" w:rsidRPr="00A9021A">
        <w:rPr>
          <w:rFonts w:ascii="Times New Roman" w:hAnsi="Times New Roman" w:cs="Times New Roman"/>
          <w:color w:val="000000" w:themeColor="text1"/>
          <w:sz w:val="24"/>
          <w:szCs w:val="24"/>
          <w:lang w:val="en-US"/>
        </w:rPr>
        <w:t xml:space="preserve">. Following the </w:t>
      </w:r>
      <w:r w:rsidR="00067022">
        <w:rPr>
          <w:rFonts w:ascii="Times New Roman" w:hAnsi="Times New Roman" w:cs="Times New Roman"/>
          <w:color w:val="000000" w:themeColor="text1"/>
          <w:sz w:val="24"/>
          <w:szCs w:val="24"/>
          <w:lang w:val="en-US"/>
        </w:rPr>
        <w:t>C</w:t>
      </w:r>
      <w:r w:rsidR="00A9021A" w:rsidRPr="00A9021A">
        <w:rPr>
          <w:rFonts w:ascii="Times New Roman" w:hAnsi="Times New Roman" w:cs="Times New Roman"/>
          <w:color w:val="000000" w:themeColor="text1"/>
          <w:sz w:val="24"/>
          <w:szCs w:val="24"/>
          <w:lang w:val="en-US"/>
        </w:rPr>
        <w:t xml:space="preserve">ourt’s ruling, the Board of Appeal </w:t>
      </w:r>
      <w:r w:rsidR="00067022">
        <w:rPr>
          <w:rFonts w:ascii="Times New Roman" w:hAnsi="Times New Roman" w:cs="Times New Roman"/>
          <w:color w:val="000000" w:themeColor="text1"/>
          <w:sz w:val="24"/>
          <w:szCs w:val="24"/>
          <w:lang w:val="en-US"/>
        </w:rPr>
        <w:t xml:space="preserve">confirmed </w:t>
      </w:r>
      <w:r w:rsidR="00861210">
        <w:rPr>
          <w:rFonts w:ascii="Times New Roman" w:hAnsi="Times New Roman" w:cs="Times New Roman"/>
          <w:color w:val="000000" w:themeColor="text1"/>
          <w:sz w:val="24"/>
          <w:szCs w:val="24"/>
          <w:lang w:val="en-US"/>
        </w:rPr>
        <w:t>ACER’s</w:t>
      </w:r>
      <w:r w:rsidR="00A9021A" w:rsidRPr="00A9021A">
        <w:rPr>
          <w:rFonts w:ascii="Times New Roman" w:hAnsi="Times New Roman" w:cs="Times New Roman"/>
          <w:color w:val="000000" w:themeColor="text1"/>
          <w:sz w:val="24"/>
          <w:szCs w:val="24"/>
          <w:lang w:val="en-US"/>
        </w:rPr>
        <w:t xml:space="preserve"> initial decision, claiming that the methodologies were indeed in line with the applicable provisions of the new regulation.</w:t>
      </w:r>
      <w:r w:rsidR="00602F78">
        <w:rPr>
          <w:rFonts w:ascii="Times New Roman" w:hAnsi="Times New Roman" w:cs="Times New Roman"/>
          <w:color w:val="000000" w:themeColor="text1"/>
          <w:sz w:val="24"/>
          <w:szCs w:val="24"/>
          <w:lang w:val="en-US"/>
        </w:rPr>
        <w:t xml:space="preserve"> </w:t>
      </w:r>
    </w:p>
    <w:p w14:paraId="539F52B8" w14:textId="776226CF" w:rsidR="007473C5" w:rsidRPr="007A67FF" w:rsidRDefault="00D14B38" w:rsidP="00566BC1">
      <w:pPr>
        <w:spacing w:before="120" w:after="240" w:line="276" w:lineRule="auto"/>
        <w:jc w:val="both"/>
        <w:rPr>
          <w:rFonts w:ascii="Times New Roman" w:hAnsi="Times New Roman" w:cs="Times New Roman"/>
          <w:color w:val="000000" w:themeColor="text1"/>
          <w:sz w:val="24"/>
          <w:szCs w:val="24"/>
          <w:lang w:val="en-US"/>
        </w:rPr>
      </w:pPr>
      <w:r w:rsidRPr="00D14B38">
        <w:rPr>
          <w:rFonts w:ascii="Times New Roman" w:hAnsi="Times New Roman" w:cs="Times New Roman"/>
          <w:color w:val="000000" w:themeColor="text1"/>
          <w:sz w:val="24"/>
          <w:szCs w:val="24"/>
          <w:lang w:val="en-US"/>
        </w:rPr>
        <w:t xml:space="preserve">In response, both BNetzA and the Federal Republic of </w:t>
      </w:r>
      <w:commentRangeStart w:id="9"/>
      <w:r w:rsidRPr="00D14B38">
        <w:rPr>
          <w:rFonts w:ascii="Times New Roman" w:hAnsi="Times New Roman" w:cs="Times New Roman"/>
          <w:color w:val="000000" w:themeColor="text1"/>
          <w:sz w:val="24"/>
          <w:szCs w:val="24"/>
          <w:lang w:val="en-US"/>
        </w:rPr>
        <w:t>Germany brought a new action</w:t>
      </w:r>
      <w:commentRangeEnd w:id="9"/>
      <w:r w:rsidR="002B7858">
        <w:rPr>
          <w:rStyle w:val="Rimandocommento"/>
        </w:rPr>
        <w:commentReference w:id="9"/>
      </w:r>
      <w:r w:rsidR="00FE2E1B">
        <w:rPr>
          <w:rFonts w:ascii="Times New Roman" w:hAnsi="Times New Roman" w:cs="Times New Roman"/>
          <w:color w:val="000000" w:themeColor="text1"/>
          <w:sz w:val="24"/>
          <w:szCs w:val="24"/>
          <w:lang w:val="en-US"/>
        </w:rPr>
        <w:t xml:space="preserve"> before the General Court</w:t>
      </w:r>
      <w:r w:rsidRPr="00D14B38">
        <w:rPr>
          <w:rFonts w:ascii="Times New Roman" w:hAnsi="Times New Roman" w:cs="Times New Roman"/>
          <w:color w:val="000000" w:themeColor="text1"/>
          <w:sz w:val="24"/>
          <w:szCs w:val="24"/>
          <w:lang w:val="en-US"/>
        </w:rPr>
        <w:t xml:space="preserve">, alleging </w:t>
      </w:r>
      <w:r w:rsidR="00170CB1">
        <w:rPr>
          <w:rFonts w:ascii="Times New Roman" w:hAnsi="Times New Roman" w:cs="Times New Roman"/>
          <w:color w:val="000000" w:themeColor="text1"/>
          <w:sz w:val="24"/>
          <w:szCs w:val="24"/>
          <w:lang w:val="en-US"/>
        </w:rPr>
        <w:t xml:space="preserve">an </w:t>
      </w:r>
      <w:r w:rsidRPr="00D14B38">
        <w:rPr>
          <w:rFonts w:ascii="Times New Roman" w:hAnsi="Times New Roman" w:cs="Times New Roman"/>
          <w:color w:val="000000" w:themeColor="text1"/>
          <w:sz w:val="24"/>
          <w:szCs w:val="24"/>
          <w:lang w:val="en-US"/>
        </w:rPr>
        <w:t>infringement of Articles 14 to 16 of Regulation 2019/943 and Article 29(3)(b) of Regulation 2015/1222, and seeking the partial annulment of the Board’s decision, specifically in relation to Articles 5(8)(b), 5(8)(c), and 5(9) of the methodologies.</w:t>
      </w:r>
      <w:r>
        <w:rPr>
          <w:rFonts w:ascii="Times New Roman" w:hAnsi="Times New Roman" w:cs="Times New Roman"/>
          <w:color w:val="000000" w:themeColor="text1"/>
          <w:sz w:val="24"/>
          <w:szCs w:val="24"/>
          <w:lang w:val="en-US"/>
        </w:rPr>
        <w:t xml:space="preserve"> </w:t>
      </w:r>
      <w:r w:rsidR="002D2C45" w:rsidRPr="00F858EF">
        <w:rPr>
          <w:rFonts w:ascii="Times New Roman" w:hAnsi="Times New Roman" w:cs="Times New Roman"/>
          <w:color w:val="000000" w:themeColor="text1"/>
          <w:sz w:val="24"/>
          <w:szCs w:val="24"/>
          <w:lang w:val="en-US"/>
        </w:rPr>
        <w:t>Indeed, t</w:t>
      </w:r>
      <w:r w:rsidR="00566BC1" w:rsidRPr="00F858EF">
        <w:rPr>
          <w:rFonts w:ascii="Times New Roman" w:hAnsi="Times New Roman" w:cs="Times New Roman"/>
          <w:color w:val="000000" w:themeColor="text1"/>
          <w:sz w:val="24"/>
          <w:szCs w:val="24"/>
          <w:lang w:val="en-US"/>
        </w:rPr>
        <w:t>hese provisions impose</w:t>
      </w:r>
      <w:r w:rsidR="00726A68">
        <w:rPr>
          <w:rFonts w:ascii="Times New Roman" w:hAnsi="Times New Roman" w:cs="Times New Roman"/>
          <w:color w:val="000000" w:themeColor="text1"/>
          <w:sz w:val="24"/>
          <w:szCs w:val="24"/>
          <w:lang w:val="en-US"/>
        </w:rPr>
        <w:t>d</w:t>
      </w:r>
      <w:r w:rsidR="00566BC1" w:rsidRPr="00F858EF">
        <w:rPr>
          <w:rFonts w:ascii="Times New Roman" w:hAnsi="Times New Roman" w:cs="Times New Roman"/>
          <w:color w:val="000000" w:themeColor="text1"/>
          <w:sz w:val="24"/>
          <w:szCs w:val="24"/>
          <w:lang w:val="en-US"/>
        </w:rPr>
        <w:t xml:space="preserve"> </w:t>
      </w:r>
      <w:r w:rsidR="00713189" w:rsidRPr="00F858EF">
        <w:rPr>
          <w:rFonts w:ascii="Times New Roman" w:hAnsi="Times New Roman" w:cs="Times New Roman"/>
          <w:color w:val="000000" w:themeColor="text1"/>
          <w:sz w:val="24"/>
          <w:szCs w:val="24"/>
          <w:lang w:val="en-US"/>
        </w:rPr>
        <w:t xml:space="preserve">specific requirements </w:t>
      </w:r>
      <w:r w:rsidR="00566BC1" w:rsidRPr="00F858EF">
        <w:rPr>
          <w:rFonts w:ascii="Times New Roman" w:hAnsi="Times New Roman" w:cs="Times New Roman"/>
          <w:color w:val="000000" w:themeColor="text1"/>
          <w:sz w:val="24"/>
          <w:szCs w:val="24"/>
          <w:lang w:val="en-US"/>
        </w:rPr>
        <w:t xml:space="preserve">on the TSOs of the Core region </w:t>
      </w:r>
      <w:r w:rsidR="00EA7908" w:rsidRPr="00EA7908">
        <w:rPr>
          <w:rFonts w:ascii="Times New Roman" w:hAnsi="Times New Roman" w:cs="Times New Roman"/>
          <w:color w:val="000000" w:themeColor="text1"/>
          <w:sz w:val="24"/>
          <w:szCs w:val="24"/>
          <w:lang w:val="en-US"/>
        </w:rPr>
        <w:t xml:space="preserve">when proposing internal network elements and </w:t>
      </w:r>
      <w:r w:rsidR="00115F52">
        <w:rPr>
          <w:rFonts w:ascii="Times New Roman" w:hAnsi="Times New Roman" w:cs="Times New Roman"/>
          <w:color w:val="000000" w:themeColor="text1"/>
          <w:sz w:val="24"/>
          <w:szCs w:val="24"/>
          <w:lang w:val="en-US"/>
        </w:rPr>
        <w:t xml:space="preserve">the </w:t>
      </w:r>
      <w:r w:rsidR="00EA7908" w:rsidRPr="00EA7908">
        <w:rPr>
          <w:rFonts w:ascii="Times New Roman" w:hAnsi="Times New Roman" w:cs="Times New Roman"/>
          <w:color w:val="000000" w:themeColor="text1"/>
          <w:sz w:val="24"/>
          <w:szCs w:val="24"/>
          <w:lang w:val="en-US"/>
        </w:rPr>
        <w:t>relevant contingencies for capacity calculation</w:t>
      </w:r>
      <w:r w:rsidR="003B63F6" w:rsidRPr="00F858EF">
        <w:rPr>
          <w:rFonts w:ascii="Times New Roman" w:hAnsi="Times New Roman" w:cs="Times New Roman"/>
          <w:color w:val="000000" w:themeColor="text1"/>
          <w:sz w:val="24"/>
          <w:szCs w:val="24"/>
          <w:lang w:val="en-US"/>
        </w:rPr>
        <w:t xml:space="preserve">, </w:t>
      </w:r>
      <w:r w:rsidR="00566BC1" w:rsidRPr="007473C5">
        <w:rPr>
          <w:rFonts w:ascii="Times New Roman" w:hAnsi="Times New Roman" w:cs="Times New Roman"/>
          <w:color w:val="000000" w:themeColor="text1"/>
          <w:sz w:val="24"/>
          <w:szCs w:val="24"/>
          <w:lang w:val="en-US"/>
        </w:rPr>
        <w:t>mak</w:t>
      </w:r>
      <w:r w:rsidR="003B63F6" w:rsidRPr="007473C5">
        <w:rPr>
          <w:rFonts w:ascii="Times New Roman" w:hAnsi="Times New Roman" w:cs="Times New Roman"/>
          <w:color w:val="000000" w:themeColor="text1"/>
          <w:sz w:val="24"/>
          <w:szCs w:val="24"/>
          <w:lang w:val="en-US"/>
        </w:rPr>
        <w:t>ing</w:t>
      </w:r>
      <w:r w:rsidR="00566BC1" w:rsidRPr="007473C5">
        <w:rPr>
          <w:rFonts w:ascii="Times New Roman" w:hAnsi="Times New Roman" w:cs="Times New Roman"/>
          <w:color w:val="000000" w:themeColor="text1"/>
          <w:sz w:val="24"/>
          <w:szCs w:val="24"/>
          <w:lang w:val="en-US"/>
        </w:rPr>
        <w:t xml:space="preserve"> it impossible</w:t>
      </w:r>
      <w:r w:rsidR="00EA7908">
        <w:rPr>
          <w:rFonts w:ascii="Times New Roman" w:hAnsi="Times New Roman" w:cs="Times New Roman"/>
          <w:color w:val="000000" w:themeColor="text1"/>
          <w:sz w:val="24"/>
          <w:szCs w:val="24"/>
          <w:lang w:val="en-US"/>
        </w:rPr>
        <w:t xml:space="preserve"> –</w:t>
      </w:r>
      <w:r w:rsidR="00566BC1" w:rsidRPr="007473C5">
        <w:rPr>
          <w:rFonts w:ascii="Times New Roman" w:hAnsi="Times New Roman" w:cs="Times New Roman"/>
          <w:color w:val="000000" w:themeColor="text1"/>
          <w:sz w:val="24"/>
          <w:szCs w:val="24"/>
          <w:lang w:val="en-US"/>
        </w:rPr>
        <w:t xml:space="preserve"> or at least more difficult</w:t>
      </w:r>
      <w:r w:rsidR="00EA7908">
        <w:rPr>
          <w:rFonts w:ascii="Times New Roman" w:hAnsi="Times New Roman" w:cs="Times New Roman"/>
          <w:color w:val="000000" w:themeColor="text1"/>
          <w:sz w:val="24"/>
          <w:szCs w:val="24"/>
          <w:lang w:val="en-US"/>
        </w:rPr>
        <w:t xml:space="preserve"> –</w:t>
      </w:r>
      <w:r w:rsidR="00566BC1" w:rsidRPr="007473C5">
        <w:rPr>
          <w:rFonts w:ascii="Times New Roman" w:hAnsi="Times New Roman" w:cs="Times New Roman"/>
          <w:color w:val="000000" w:themeColor="text1"/>
          <w:sz w:val="24"/>
          <w:szCs w:val="24"/>
          <w:lang w:val="en-US"/>
        </w:rPr>
        <w:t xml:space="preserve"> to apply capacity calculation to internal network elements. </w:t>
      </w:r>
      <w:r w:rsidR="007A67FF" w:rsidRPr="007A67FF">
        <w:rPr>
          <w:rFonts w:ascii="Times New Roman" w:hAnsi="Times New Roman" w:cs="Times New Roman"/>
          <w:color w:val="000000" w:themeColor="text1"/>
          <w:sz w:val="24"/>
          <w:szCs w:val="24"/>
          <w:lang w:val="en-US"/>
        </w:rPr>
        <w:t>BNetzA and the Federal Republic of Germany essentially argue</w:t>
      </w:r>
      <w:r w:rsidR="007A67FF">
        <w:rPr>
          <w:rFonts w:ascii="Times New Roman" w:hAnsi="Times New Roman" w:cs="Times New Roman"/>
          <w:color w:val="000000" w:themeColor="text1"/>
          <w:sz w:val="24"/>
          <w:szCs w:val="24"/>
          <w:lang w:val="en-US"/>
        </w:rPr>
        <w:t>d</w:t>
      </w:r>
      <w:r w:rsidR="007A67FF" w:rsidRPr="007A67FF">
        <w:rPr>
          <w:rFonts w:ascii="Times New Roman" w:hAnsi="Times New Roman" w:cs="Times New Roman"/>
          <w:color w:val="000000" w:themeColor="text1"/>
          <w:sz w:val="24"/>
          <w:szCs w:val="24"/>
          <w:lang w:val="en-US"/>
        </w:rPr>
        <w:t xml:space="preserve"> that nothing in the wording of the provisions of Regulations 2019/943 and 2015/1222 allow</w:t>
      </w:r>
      <w:r w:rsidR="00295DA0">
        <w:rPr>
          <w:rFonts w:ascii="Times New Roman" w:hAnsi="Times New Roman" w:cs="Times New Roman"/>
          <w:color w:val="000000" w:themeColor="text1"/>
          <w:sz w:val="24"/>
          <w:szCs w:val="24"/>
          <w:lang w:val="en-US"/>
        </w:rPr>
        <w:t>s</w:t>
      </w:r>
      <w:r w:rsidR="007A67FF" w:rsidRPr="007A67FF">
        <w:rPr>
          <w:rFonts w:ascii="Times New Roman" w:hAnsi="Times New Roman" w:cs="Times New Roman"/>
          <w:color w:val="000000" w:themeColor="text1"/>
          <w:sz w:val="24"/>
          <w:szCs w:val="24"/>
          <w:lang w:val="en-US"/>
        </w:rPr>
        <w:t xml:space="preserve"> the inclusion of an internal network element</w:t>
      </w:r>
      <w:r w:rsidR="0056488A">
        <w:rPr>
          <w:rFonts w:ascii="Times New Roman" w:hAnsi="Times New Roman" w:cs="Times New Roman"/>
          <w:color w:val="000000" w:themeColor="text1"/>
          <w:sz w:val="24"/>
          <w:szCs w:val="24"/>
          <w:lang w:val="en-US"/>
        </w:rPr>
        <w:t xml:space="preserve"> – </w:t>
      </w:r>
      <w:r w:rsidR="007A67FF" w:rsidRPr="007A67FF">
        <w:rPr>
          <w:rFonts w:ascii="Times New Roman" w:hAnsi="Times New Roman" w:cs="Times New Roman"/>
          <w:color w:val="000000" w:themeColor="text1"/>
          <w:sz w:val="24"/>
          <w:szCs w:val="24"/>
          <w:lang w:val="en-US"/>
        </w:rPr>
        <w:t>significantly influenced by cross-zonal exchanges</w:t>
      </w:r>
      <w:r w:rsidR="0056488A">
        <w:rPr>
          <w:rFonts w:ascii="Times New Roman" w:hAnsi="Times New Roman" w:cs="Times New Roman"/>
          <w:color w:val="000000" w:themeColor="text1"/>
          <w:sz w:val="24"/>
          <w:szCs w:val="24"/>
          <w:lang w:val="en-US"/>
        </w:rPr>
        <w:t xml:space="preserve"> – </w:t>
      </w:r>
      <w:r w:rsidR="007A67FF" w:rsidRPr="007A67FF">
        <w:rPr>
          <w:rFonts w:ascii="Times New Roman" w:hAnsi="Times New Roman" w:cs="Times New Roman"/>
          <w:color w:val="000000" w:themeColor="text1"/>
          <w:sz w:val="24"/>
          <w:szCs w:val="24"/>
          <w:lang w:val="en-US"/>
        </w:rPr>
        <w:t xml:space="preserve">in the capacity calculation to be made conditional upon the performance of an economic efficiency analysis and </w:t>
      </w:r>
      <w:r w:rsidR="003A1012">
        <w:rPr>
          <w:rFonts w:ascii="Times New Roman" w:hAnsi="Times New Roman" w:cs="Times New Roman"/>
          <w:color w:val="000000" w:themeColor="text1"/>
          <w:sz w:val="24"/>
          <w:szCs w:val="24"/>
          <w:lang w:val="en-US"/>
        </w:rPr>
        <w:t xml:space="preserve">of </w:t>
      </w:r>
      <w:r w:rsidR="007A67FF" w:rsidRPr="007A67FF">
        <w:rPr>
          <w:rFonts w:ascii="Times New Roman" w:hAnsi="Times New Roman" w:cs="Times New Roman"/>
          <w:color w:val="000000" w:themeColor="text1"/>
          <w:sz w:val="24"/>
          <w:szCs w:val="24"/>
          <w:lang w:val="en-US"/>
        </w:rPr>
        <w:t>an impact assessment of increasing the threshold for inclusion.</w:t>
      </w:r>
    </w:p>
    <w:p w14:paraId="5394E8D2" w14:textId="3A5EECD7" w:rsidR="00566BC1" w:rsidRPr="00F858EF" w:rsidRDefault="00256AFC" w:rsidP="00566BC1">
      <w:pPr>
        <w:spacing w:before="120" w:after="240" w:line="276"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w:t>
      </w:r>
      <w:r w:rsidR="00B411EE" w:rsidRPr="00F858EF">
        <w:rPr>
          <w:rFonts w:ascii="Times New Roman" w:hAnsi="Times New Roman" w:cs="Times New Roman"/>
          <w:color w:val="000000" w:themeColor="text1"/>
          <w:sz w:val="24"/>
          <w:szCs w:val="24"/>
          <w:lang w:val="en-US"/>
        </w:rPr>
        <w:t xml:space="preserve">ccording to </w:t>
      </w:r>
      <w:r w:rsidR="007473C5">
        <w:rPr>
          <w:rFonts w:ascii="Times New Roman" w:hAnsi="Times New Roman" w:cs="Times New Roman"/>
          <w:color w:val="000000" w:themeColor="text1"/>
          <w:sz w:val="24"/>
          <w:szCs w:val="24"/>
          <w:lang w:val="en-US"/>
        </w:rPr>
        <w:t xml:space="preserve">the applicants, </w:t>
      </w:r>
      <w:r w:rsidR="00B411EE" w:rsidRPr="00F858EF">
        <w:rPr>
          <w:rFonts w:ascii="Times New Roman" w:hAnsi="Times New Roman" w:cs="Times New Roman"/>
          <w:color w:val="000000" w:themeColor="text1"/>
          <w:sz w:val="24"/>
          <w:szCs w:val="24"/>
          <w:lang w:val="en-US"/>
        </w:rPr>
        <w:t>the</w:t>
      </w:r>
      <w:r w:rsidR="000A6502" w:rsidRPr="00F858EF">
        <w:rPr>
          <w:rFonts w:ascii="Times New Roman" w:hAnsi="Times New Roman" w:cs="Times New Roman"/>
          <w:color w:val="000000" w:themeColor="text1"/>
          <w:sz w:val="24"/>
          <w:szCs w:val="24"/>
          <w:lang w:val="en-US"/>
        </w:rPr>
        <w:t xml:space="preserve"> Board’s</w:t>
      </w:r>
      <w:r w:rsidR="00B411EE" w:rsidRPr="00F858EF">
        <w:rPr>
          <w:rFonts w:ascii="Times New Roman" w:hAnsi="Times New Roman" w:cs="Times New Roman"/>
          <w:color w:val="000000" w:themeColor="text1"/>
          <w:sz w:val="24"/>
          <w:szCs w:val="24"/>
          <w:lang w:val="en-US"/>
        </w:rPr>
        <w:t xml:space="preserve"> interpretation </w:t>
      </w:r>
      <w:r w:rsidR="00E52661">
        <w:rPr>
          <w:rFonts w:ascii="Times New Roman" w:hAnsi="Times New Roman" w:cs="Times New Roman"/>
          <w:color w:val="000000" w:themeColor="text1"/>
          <w:sz w:val="24"/>
          <w:szCs w:val="24"/>
          <w:lang w:val="en-US"/>
        </w:rPr>
        <w:t>was inconsistent</w:t>
      </w:r>
      <w:r w:rsidR="00B411EE" w:rsidRPr="00F858EF">
        <w:rPr>
          <w:rFonts w:ascii="Times New Roman" w:hAnsi="Times New Roman" w:cs="Times New Roman"/>
          <w:color w:val="000000" w:themeColor="text1"/>
          <w:sz w:val="24"/>
          <w:szCs w:val="24"/>
          <w:lang w:val="en-US"/>
        </w:rPr>
        <w:t xml:space="preserve"> with </w:t>
      </w:r>
      <w:r w:rsidR="00E52661">
        <w:rPr>
          <w:rFonts w:ascii="Times New Roman" w:hAnsi="Times New Roman" w:cs="Times New Roman"/>
          <w:color w:val="000000" w:themeColor="text1"/>
          <w:sz w:val="24"/>
          <w:szCs w:val="24"/>
          <w:lang w:val="en-US"/>
        </w:rPr>
        <w:t>the</w:t>
      </w:r>
      <w:r w:rsidR="00B411EE" w:rsidRPr="00F858EF">
        <w:rPr>
          <w:rFonts w:ascii="Times New Roman" w:hAnsi="Times New Roman" w:cs="Times New Roman"/>
          <w:color w:val="000000" w:themeColor="text1"/>
          <w:sz w:val="24"/>
          <w:szCs w:val="24"/>
          <w:lang w:val="en-US"/>
        </w:rPr>
        <w:t xml:space="preserve"> literal and teleological interpretation of Articles 14 to 16 of Regulation 2019/943 and of Article 29(3)(b) of Regulation 2015/1222, from which it is clear that the capacity calculation must include all internal network elements (and the relevant contingencies) that are influenced by cross-zonal exchanges irrespective of </w:t>
      </w:r>
      <w:r w:rsidR="00B411EE" w:rsidRPr="00F858EF">
        <w:rPr>
          <w:rFonts w:ascii="Times New Roman" w:hAnsi="Times New Roman" w:cs="Times New Roman"/>
          <w:color w:val="000000" w:themeColor="text1"/>
          <w:sz w:val="24"/>
          <w:szCs w:val="24"/>
          <w:lang w:val="en-US"/>
        </w:rPr>
        <w:lastRenderedPageBreak/>
        <w:t>whether or not those elements are structurally congested.</w:t>
      </w:r>
    </w:p>
    <w:p w14:paraId="28E98B99" w14:textId="7FC79EE8" w:rsidR="00E653EB" w:rsidRPr="00451EF7" w:rsidRDefault="00831686" w:rsidP="00C6005D">
      <w:pPr>
        <w:spacing w:before="120" w:after="240" w:line="276" w:lineRule="auto"/>
        <w:jc w:val="both"/>
        <w:rPr>
          <w:rFonts w:ascii="Times New Roman" w:hAnsi="Times New Roman" w:cs="Times New Roman"/>
          <w:color w:val="000000" w:themeColor="text1"/>
          <w:sz w:val="24"/>
          <w:szCs w:val="24"/>
          <w:lang w:val="en-US"/>
        </w:rPr>
      </w:pPr>
      <w:r w:rsidRPr="00613FEA">
        <w:rPr>
          <w:rFonts w:ascii="Times New Roman" w:hAnsi="Times New Roman" w:cs="Times New Roman"/>
          <w:color w:val="000000" w:themeColor="text1"/>
          <w:sz w:val="24"/>
          <w:szCs w:val="24"/>
          <w:lang w:val="en-US"/>
        </w:rPr>
        <w:t>The General Court</w:t>
      </w:r>
      <w:r w:rsidR="00A3235F">
        <w:rPr>
          <w:rFonts w:ascii="Times New Roman" w:hAnsi="Times New Roman" w:cs="Times New Roman"/>
          <w:color w:val="000000" w:themeColor="text1"/>
          <w:sz w:val="24"/>
          <w:szCs w:val="24"/>
          <w:lang w:val="en-US"/>
        </w:rPr>
        <w:t xml:space="preserve"> </w:t>
      </w:r>
      <w:r w:rsidR="00DD6566">
        <w:rPr>
          <w:rFonts w:ascii="Times New Roman" w:hAnsi="Times New Roman" w:cs="Times New Roman"/>
          <w:color w:val="000000" w:themeColor="text1"/>
          <w:sz w:val="24"/>
          <w:szCs w:val="24"/>
          <w:lang w:val="en-US"/>
        </w:rPr>
        <w:t>agreed, finding that</w:t>
      </w:r>
      <w:r w:rsidR="002948D7">
        <w:rPr>
          <w:rFonts w:ascii="Times New Roman" w:hAnsi="Times New Roman" w:cs="Times New Roman"/>
          <w:color w:val="000000" w:themeColor="text1"/>
          <w:sz w:val="24"/>
          <w:szCs w:val="24"/>
          <w:lang w:val="en-US"/>
        </w:rPr>
        <w:t xml:space="preserve"> </w:t>
      </w:r>
      <w:r w:rsidR="002948D7" w:rsidRPr="002948D7">
        <w:rPr>
          <w:rFonts w:ascii="Times New Roman" w:hAnsi="Times New Roman" w:cs="Times New Roman"/>
          <w:color w:val="000000" w:themeColor="text1"/>
          <w:sz w:val="24"/>
          <w:szCs w:val="24"/>
          <w:lang w:val="en-US"/>
        </w:rPr>
        <w:t xml:space="preserve">ACER </w:t>
      </w:r>
      <w:r w:rsidR="00DD6566">
        <w:rPr>
          <w:rFonts w:ascii="Times New Roman" w:hAnsi="Times New Roman" w:cs="Times New Roman"/>
          <w:color w:val="000000" w:themeColor="text1"/>
          <w:sz w:val="24"/>
          <w:szCs w:val="24"/>
          <w:lang w:val="en-US"/>
        </w:rPr>
        <w:t xml:space="preserve">had </w:t>
      </w:r>
      <w:r w:rsidR="00DD6566" w:rsidRPr="00451EF7">
        <w:rPr>
          <w:rFonts w:ascii="Times New Roman" w:hAnsi="Times New Roman" w:cs="Times New Roman"/>
          <w:color w:val="000000" w:themeColor="text1"/>
          <w:sz w:val="24"/>
          <w:szCs w:val="24"/>
          <w:lang w:val="en-US"/>
        </w:rPr>
        <w:t xml:space="preserve">overstepped its authority </w:t>
      </w:r>
      <w:r w:rsidR="00DD6566">
        <w:rPr>
          <w:rFonts w:ascii="Times New Roman" w:hAnsi="Times New Roman" w:cs="Times New Roman"/>
          <w:color w:val="000000" w:themeColor="text1"/>
          <w:sz w:val="24"/>
          <w:szCs w:val="24"/>
          <w:lang w:val="en-US"/>
        </w:rPr>
        <w:t xml:space="preserve">by introducing </w:t>
      </w:r>
      <w:r w:rsidR="002948D7" w:rsidRPr="002948D7">
        <w:rPr>
          <w:rFonts w:ascii="Times New Roman" w:hAnsi="Times New Roman" w:cs="Times New Roman"/>
          <w:color w:val="000000" w:themeColor="text1"/>
          <w:sz w:val="24"/>
          <w:szCs w:val="24"/>
          <w:lang w:val="en-US"/>
        </w:rPr>
        <w:t xml:space="preserve">requirements </w:t>
      </w:r>
      <w:r w:rsidR="009D3A79" w:rsidRPr="007B5C8A">
        <w:rPr>
          <w:rFonts w:ascii="Times New Roman" w:hAnsi="Times New Roman" w:cs="Times New Roman"/>
          <w:color w:val="000000" w:themeColor="text1"/>
          <w:sz w:val="24"/>
          <w:szCs w:val="24"/>
          <w:lang w:val="en-US"/>
        </w:rPr>
        <w:t>not grounded in the applicable legal framework.</w:t>
      </w:r>
      <w:r w:rsidR="007B5C8A">
        <w:rPr>
          <w:rFonts w:ascii="Times New Roman" w:hAnsi="Times New Roman" w:cs="Times New Roman"/>
          <w:color w:val="000000" w:themeColor="text1"/>
          <w:sz w:val="24"/>
          <w:szCs w:val="24"/>
          <w:lang w:val="en-US"/>
        </w:rPr>
        <w:t xml:space="preserve"> </w:t>
      </w:r>
      <w:r w:rsidR="00CD2D62">
        <w:rPr>
          <w:rFonts w:ascii="Times New Roman" w:hAnsi="Times New Roman" w:cs="Times New Roman"/>
          <w:color w:val="000000" w:themeColor="text1"/>
          <w:sz w:val="24"/>
          <w:szCs w:val="24"/>
          <w:lang w:val="en-US"/>
        </w:rPr>
        <w:t xml:space="preserve">Specifically, the Court found that </w:t>
      </w:r>
      <w:r w:rsidR="00E653EB">
        <w:rPr>
          <w:rFonts w:ascii="Times New Roman" w:hAnsi="Times New Roman" w:cs="Times New Roman"/>
          <w:color w:val="000000" w:themeColor="text1"/>
          <w:sz w:val="24"/>
          <w:szCs w:val="24"/>
          <w:lang w:val="en-US"/>
        </w:rPr>
        <w:t>t</w:t>
      </w:r>
      <w:r w:rsidR="00E653EB" w:rsidRPr="00E653EB">
        <w:rPr>
          <w:rFonts w:ascii="Times New Roman" w:hAnsi="Times New Roman" w:cs="Times New Roman"/>
          <w:color w:val="000000" w:themeColor="text1"/>
          <w:sz w:val="24"/>
          <w:szCs w:val="24"/>
          <w:lang w:val="en-US"/>
        </w:rPr>
        <w:t xml:space="preserve">he </w:t>
      </w:r>
      <w:r w:rsidR="007B5C8A">
        <w:rPr>
          <w:rFonts w:ascii="Times New Roman" w:hAnsi="Times New Roman" w:cs="Times New Roman"/>
          <w:color w:val="000000" w:themeColor="text1"/>
          <w:sz w:val="24"/>
          <w:szCs w:val="24"/>
          <w:lang w:val="en-US"/>
        </w:rPr>
        <w:t xml:space="preserve">contested </w:t>
      </w:r>
      <w:r w:rsidR="00E653EB" w:rsidRPr="00E653EB">
        <w:rPr>
          <w:rFonts w:ascii="Times New Roman" w:hAnsi="Times New Roman" w:cs="Times New Roman"/>
          <w:color w:val="000000" w:themeColor="text1"/>
          <w:sz w:val="24"/>
          <w:szCs w:val="24"/>
          <w:lang w:val="en-US"/>
        </w:rPr>
        <w:t>interpretation</w:t>
      </w:r>
      <w:r w:rsidR="001B5335">
        <w:rPr>
          <w:rFonts w:ascii="Times New Roman" w:hAnsi="Times New Roman" w:cs="Times New Roman"/>
          <w:color w:val="000000" w:themeColor="text1"/>
          <w:sz w:val="24"/>
          <w:szCs w:val="24"/>
          <w:lang w:val="en-US"/>
        </w:rPr>
        <w:t>, indeed,</w:t>
      </w:r>
      <w:r w:rsidR="00E653EB" w:rsidRPr="00E653EB">
        <w:rPr>
          <w:rFonts w:ascii="Times New Roman" w:hAnsi="Times New Roman" w:cs="Times New Roman"/>
          <w:color w:val="000000" w:themeColor="text1"/>
          <w:sz w:val="24"/>
          <w:szCs w:val="24"/>
          <w:lang w:val="en-US"/>
        </w:rPr>
        <w:t xml:space="preserve"> infringe</w:t>
      </w:r>
      <w:r w:rsidR="00451EF7">
        <w:rPr>
          <w:rFonts w:ascii="Times New Roman" w:hAnsi="Times New Roman" w:cs="Times New Roman"/>
          <w:color w:val="000000" w:themeColor="text1"/>
          <w:sz w:val="24"/>
          <w:szCs w:val="24"/>
          <w:lang w:val="en-US"/>
        </w:rPr>
        <w:t>d</w:t>
      </w:r>
      <w:r w:rsidR="00E653EB" w:rsidRPr="00E653EB">
        <w:rPr>
          <w:rFonts w:ascii="Times New Roman" w:hAnsi="Times New Roman" w:cs="Times New Roman"/>
          <w:color w:val="000000" w:themeColor="text1"/>
          <w:sz w:val="24"/>
          <w:szCs w:val="24"/>
          <w:lang w:val="en-US"/>
        </w:rPr>
        <w:t xml:space="preserve"> Articles 14 to 16 of Regulation 2019/943 and Article 29(3)(b) of Regulation 2015/1222, </w:t>
      </w:r>
      <w:r w:rsidR="00275F5E" w:rsidRPr="00275F5E">
        <w:rPr>
          <w:rFonts w:ascii="Times New Roman" w:hAnsi="Times New Roman" w:cs="Times New Roman"/>
          <w:color w:val="000000" w:themeColor="text1"/>
          <w:sz w:val="24"/>
          <w:szCs w:val="24"/>
          <w:lang w:val="en-US"/>
        </w:rPr>
        <w:t xml:space="preserve">as they </w:t>
      </w:r>
      <w:r w:rsidR="00E653EB" w:rsidRPr="00E653EB">
        <w:rPr>
          <w:rFonts w:ascii="Times New Roman" w:hAnsi="Times New Roman" w:cs="Times New Roman"/>
          <w:color w:val="000000" w:themeColor="text1"/>
          <w:sz w:val="24"/>
          <w:szCs w:val="24"/>
          <w:lang w:val="en-US"/>
        </w:rPr>
        <w:t>d</w:t>
      </w:r>
      <w:r w:rsidR="00801844">
        <w:rPr>
          <w:rFonts w:ascii="Times New Roman" w:hAnsi="Times New Roman" w:cs="Times New Roman"/>
          <w:color w:val="000000" w:themeColor="text1"/>
          <w:sz w:val="24"/>
          <w:szCs w:val="24"/>
          <w:lang w:val="en-US"/>
        </w:rPr>
        <w:t>o</w:t>
      </w:r>
      <w:r w:rsidR="00E653EB" w:rsidRPr="00E653EB">
        <w:rPr>
          <w:rFonts w:ascii="Times New Roman" w:hAnsi="Times New Roman" w:cs="Times New Roman"/>
          <w:color w:val="000000" w:themeColor="text1"/>
          <w:sz w:val="24"/>
          <w:szCs w:val="24"/>
          <w:lang w:val="en-US"/>
        </w:rPr>
        <w:t xml:space="preserve"> not permit the introduction, into the methodologies at issue, of the requirements at issue, which impose obligations going beyond the mere communication of the list of internal </w:t>
      </w:r>
      <w:r w:rsidR="003C4AAE" w:rsidRPr="00DC3C98">
        <w:rPr>
          <w:rFonts w:ascii="Times New Roman" w:hAnsi="Times New Roman" w:cs="Times New Roman"/>
          <w:sz w:val="24"/>
          <w:szCs w:val="24"/>
          <w:lang w:val="en-US"/>
        </w:rPr>
        <w:t xml:space="preserve">critical network elements </w:t>
      </w:r>
      <w:r w:rsidR="003C4AAE">
        <w:rPr>
          <w:rFonts w:ascii="Times New Roman" w:hAnsi="Times New Roman" w:cs="Times New Roman"/>
          <w:sz w:val="24"/>
          <w:szCs w:val="24"/>
          <w:lang w:val="en-US"/>
        </w:rPr>
        <w:t>(</w:t>
      </w:r>
      <w:r w:rsidR="00E653EB" w:rsidRPr="00E653EB">
        <w:rPr>
          <w:rFonts w:ascii="Times New Roman" w:hAnsi="Times New Roman" w:cs="Times New Roman"/>
          <w:color w:val="000000" w:themeColor="text1"/>
          <w:sz w:val="24"/>
          <w:szCs w:val="24"/>
          <w:lang w:val="en-US"/>
        </w:rPr>
        <w:t>CNEs</w:t>
      </w:r>
      <w:r w:rsidR="003C4AAE">
        <w:rPr>
          <w:rFonts w:ascii="Times New Roman" w:hAnsi="Times New Roman" w:cs="Times New Roman"/>
          <w:color w:val="000000" w:themeColor="text1"/>
          <w:sz w:val="24"/>
          <w:szCs w:val="24"/>
          <w:lang w:val="en-US"/>
        </w:rPr>
        <w:t>)</w:t>
      </w:r>
      <w:r w:rsidR="00E653EB" w:rsidRPr="00E653EB">
        <w:rPr>
          <w:rFonts w:ascii="Times New Roman" w:hAnsi="Times New Roman" w:cs="Times New Roman"/>
          <w:color w:val="000000" w:themeColor="text1"/>
          <w:sz w:val="24"/>
          <w:szCs w:val="24"/>
          <w:lang w:val="en-US"/>
        </w:rPr>
        <w:t xml:space="preserve"> (and the relevant contingencies) meeting the PTDF criterion, as referred to in Article 5(8)(a) of those methodologies</w:t>
      </w:r>
      <w:r w:rsidR="003B4E15">
        <w:rPr>
          <w:rStyle w:val="Rimandonotaapidipagina"/>
          <w:rFonts w:ascii="Times New Roman" w:hAnsi="Times New Roman" w:cs="Times New Roman"/>
          <w:color w:val="000000" w:themeColor="text1"/>
          <w:sz w:val="24"/>
          <w:szCs w:val="24"/>
          <w:lang w:val="en-US"/>
        </w:rPr>
        <w:footnoteReference w:id="10"/>
      </w:r>
      <w:r w:rsidR="00E653EB" w:rsidRPr="00E653EB">
        <w:rPr>
          <w:rFonts w:ascii="Times New Roman" w:hAnsi="Times New Roman" w:cs="Times New Roman"/>
          <w:color w:val="000000" w:themeColor="text1"/>
          <w:sz w:val="24"/>
          <w:szCs w:val="24"/>
          <w:lang w:val="en-US"/>
        </w:rPr>
        <w:t>.</w:t>
      </w:r>
      <w:r w:rsidR="00451EF7">
        <w:rPr>
          <w:rFonts w:ascii="Times New Roman" w:hAnsi="Times New Roman" w:cs="Times New Roman"/>
          <w:color w:val="000000" w:themeColor="text1"/>
          <w:sz w:val="24"/>
          <w:szCs w:val="24"/>
          <w:lang w:val="en-US"/>
        </w:rPr>
        <w:t xml:space="preserve"> </w:t>
      </w:r>
    </w:p>
    <w:p w14:paraId="069A1445" w14:textId="10347C31" w:rsidR="00801844" w:rsidRPr="00471023" w:rsidRDefault="00370724" w:rsidP="00C6005D">
      <w:pPr>
        <w:spacing w:before="120" w:after="240" w:line="276"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Accordingly, </w:t>
      </w:r>
      <w:r w:rsidR="00801844">
        <w:rPr>
          <w:rFonts w:ascii="Times New Roman" w:hAnsi="Times New Roman" w:cs="Times New Roman"/>
          <w:color w:val="000000" w:themeColor="text1"/>
          <w:sz w:val="24"/>
          <w:szCs w:val="24"/>
          <w:lang w:val="en-US"/>
        </w:rPr>
        <w:t>the Court</w:t>
      </w:r>
      <w:r w:rsidR="00E26AA2">
        <w:rPr>
          <w:rFonts w:ascii="Times New Roman" w:hAnsi="Times New Roman" w:cs="Times New Roman"/>
          <w:color w:val="000000" w:themeColor="text1"/>
          <w:sz w:val="24"/>
          <w:szCs w:val="24"/>
          <w:lang w:val="en-US"/>
        </w:rPr>
        <w:t xml:space="preserve">, after </w:t>
      </w:r>
      <w:r>
        <w:rPr>
          <w:rFonts w:ascii="Times New Roman" w:hAnsi="Times New Roman" w:cs="Times New Roman"/>
          <w:color w:val="000000" w:themeColor="text1"/>
          <w:sz w:val="24"/>
          <w:szCs w:val="24"/>
          <w:lang w:val="en-US"/>
        </w:rPr>
        <w:t>joining</w:t>
      </w:r>
      <w:r w:rsidR="00E26AA2">
        <w:rPr>
          <w:rFonts w:ascii="Times New Roman" w:hAnsi="Times New Roman" w:cs="Times New Roman"/>
          <w:color w:val="000000" w:themeColor="text1"/>
          <w:sz w:val="24"/>
          <w:szCs w:val="24"/>
          <w:lang w:val="en-US"/>
        </w:rPr>
        <w:t xml:space="preserve"> cases T-600/23</w:t>
      </w:r>
      <w:r w:rsidR="00F83311">
        <w:rPr>
          <w:rFonts w:ascii="Times New Roman" w:hAnsi="Times New Roman" w:cs="Times New Roman"/>
          <w:color w:val="000000" w:themeColor="text1"/>
          <w:sz w:val="24"/>
          <w:szCs w:val="24"/>
          <w:lang w:val="en-US"/>
        </w:rPr>
        <w:t xml:space="preserve"> and T-612/23, brought</w:t>
      </w:r>
      <w:r>
        <w:rPr>
          <w:rFonts w:ascii="Times New Roman" w:hAnsi="Times New Roman" w:cs="Times New Roman"/>
          <w:color w:val="000000" w:themeColor="text1"/>
          <w:sz w:val="24"/>
          <w:szCs w:val="24"/>
          <w:lang w:val="en-US"/>
        </w:rPr>
        <w:t xml:space="preserve"> </w:t>
      </w:r>
      <w:r w:rsidR="00F83311">
        <w:rPr>
          <w:rFonts w:ascii="Times New Roman" w:hAnsi="Times New Roman" w:cs="Times New Roman"/>
          <w:color w:val="000000" w:themeColor="text1"/>
          <w:sz w:val="24"/>
          <w:szCs w:val="24"/>
          <w:lang w:val="en-US"/>
        </w:rPr>
        <w:t xml:space="preserve">respectively by </w:t>
      </w:r>
      <w:r w:rsidR="00F83311" w:rsidRPr="00F858EF">
        <w:rPr>
          <w:rFonts w:ascii="Times New Roman" w:hAnsi="Times New Roman" w:cs="Times New Roman"/>
          <w:color w:val="000000" w:themeColor="text1"/>
          <w:sz w:val="24"/>
          <w:szCs w:val="24"/>
          <w:lang w:val="en-US"/>
        </w:rPr>
        <w:t>BNetzA and</w:t>
      </w:r>
      <w:r w:rsidR="00F83311">
        <w:rPr>
          <w:rFonts w:ascii="Times New Roman" w:hAnsi="Times New Roman" w:cs="Times New Roman"/>
          <w:color w:val="000000" w:themeColor="text1"/>
          <w:sz w:val="24"/>
          <w:szCs w:val="24"/>
          <w:lang w:val="en-US"/>
        </w:rPr>
        <w:t xml:space="preserve"> </w:t>
      </w:r>
      <w:r w:rsidR="00F83311" w:rsidRPr="00F858EF">
        <w:rPr>
          <w:rFonts w:ascii="Times New Roman" w:hAnsi="Times New Roman" w:cs="Times New Roman"/>
          <w:color w:val="000000" w:themeColor="text1"/>
          <w:sz w:val="24"/>
          <w:szCs w:val="24"/>
          <w:lang w:val="en-US"/>
        </w:rPr>
        <w:t>the Federal Republic of Germany</w:t>
      </w:r>
      <w:r w:rsidR="00F83311">
        <w:rPr>
          <w:rFonts w:ascii="Times New Roman" w:hAnsi="Times New Roman" w:cs="Times New Roman"/>
          <w:color w:val="000000" w:themeColor="text1"/>
          <w:sz w:val="24"/>
          <w:szCs w:val="24"/>
          <w:lang w:val="en-US"/>
        </w:rPr>
        <w:t xml:space="preserve">, annulled </w:t>
      </w:r>
      <w:r w:rsidR="00471023" w:rsidRPr="00471023">
        <w:rPr>
          <w:rFonts w:ascii="Times New Roman" w:hAnsi="Times New Roman" w:cs="Times New Roman"/>
          <w:color w:val="000000" w:themeColor="text1"/>
          <w:sz w:val="24"/>
          <w:szCs w:val="24"/>
          <w:lang w:val="en-US"/>
        </w:rPr>
        <w:t>Decision A</w:t>
      </w:r>
      <w:r w:rsidR="00471023">
        <w:rPr>
          <w:rFonts w:ascii="Times New Roman" w:hAnsi="Times New Roman" w:cs="Times New Roman"/>
          <w:color w:val="000000" w:themeColor="text1"/>
          <w:sz w:val="24"/>
          <w:szCs w:val="24"/>
          <w:lang w:val="en-US"/>
        </w:rPr>
        <w:t>-</w:t>
      </w:r>
      <w:r w:rsidR="00471023" w:rsidRPr="00471023">
        <w:rPr>
          <w:rFonts w:ascii="Times New Roman" w:hAnsi="Times New Roman" w:cs="Times New Roman"/>
          <w:color w:val="000000" w:themeColor="text1"/>
          <w:sz w:val="24"/>
          <w:szCs w:val="24"/>
          <w:lang w:val="en-US"/>
        </w:rPr>
        <w:t>003-2019</w:t>
      </w:r>
      <w:r w:rsidR="00E47782">
        <w:rPr>
          <w:rFonts w:ascii="Times New Roman" w:hAnsi="Times New Roman" w:cs="Times New Roman"/>
          <w:color w:val="000000" w:themeColor="text1"/>
          <w:sz w:val="24"/>
          <w:szCs w:val="24"/>
          <w:lang w:val="en-US"/>
        </w:rPr>
        <w:t xml:space="preserve"> </w:t>
      </w:r>
      <w:r w:rsidR="00471023" w:rsidRPr="00471023">
        <w:rPr>
          <w:rFonts w:ascii="Times New Roman" w:hAnsi="Times New Roman" w:cs="Times New Roman"/>
          <w:color w:val="000000" w:themeColor="text1"/>
          <w:sz w:val="24"/>
          <w:szCs w:val="24"/>
          <w:lang w:val="en-US"/>
        </w:rPr>
        <w:t xml:space="preserve">of </w:t>
      </w:r>
      <w:r w:rsidR="00547F9E">
        <w:rPr>
          <w:rFonts w:ascii="Times New Roman" w:hAnsi="Times New Roman" w:cs="Times New Roman"/>
          <w:color w:val="000000" w:themeColor="text1"/>
          <w:sz w:val="24"/>
          <w:szCs w:val="24"/>
          <w:lang w:val="en-US"/>
        </w:rPr>
        <w:t xml:space="preserve">ACER’s </w:t>
      </w:r>
      <w:r w:rsidR="00471023" w:rsidRPr="00471023">
        <w:rPr>
          <w:rFonts w:ascii="Times New Roman" w:hAnsi="Times New Roman" w:cs="Times New Roman"/>
          <w:color w:val="000000" w:themeColor="text1"/>
          <w:sz w:val="24"/>
          <w:szCs w:val="24"/>
          <w:lang w:val="en-US"/>
        </w:rPr>
        <w:t>Board of Appeal</w:t>
      </w:r>
      <w:r w:rsidR="00821FE6">
        <w:rPr>
          <w:rFonts w:ascii="Times New Roman" w:hAnsi="Times New Roman" w:cs="Times New Roman"/>
          <w:color w:val="000000" w:themeColor="text1"/>
          <w:sz w:val="24"/>
          <w:szCs w:val="24"/>
          <w:lang w:val="en-US"/>
        </w:rPr>
        <w:t xml:space="preserve">, </w:t>
      </w:r>
      <w:r w:rsidR="00471023" w:rsidRPr="00471023">
        <w:rPr>
          <w:rFonts w:ascii="Times New Roman" w:hAnsi="Times New Roman" w:cs="Times New Roman"/>
          <w:color w:val="000000" w:themeColor="text1"/>
          <w:sz w:val="24"/>
          <w:szCs w:val="24"/>
          <w:lang w:val="en-US"/>
        </w:rPr>
        <w:t xml:space="preserve">in so far as </w:t>
      </w:r>
      <w:r w:rsidR="00F82B04">
        <w:rPr>
          <w:rFonts w:ascii="Times New Roman" w:hAnsi="Times New Roman" w:cs="Times New Roman"/>
          <w:color w:val="000000" w:themeColor="text1"/>
          <w:sz w:val="24"/>
          <w:szCs w:val="24"/>
          <w:lang w:val="en-US"/>
        </w:rPr>
        <w:t>it</w:t>
      </w:r>
      <w:r w:rsidR="00471023" w:rsidRPr="00471023">
        <w:rPr>
          <w:rFonts w:ascii="Times New Roman" w:hAnsi="Times New Roman" w:cs="Times New Roman"/>
          <w:color w:val="000000" w:themeColor="text1"/>
          <w:sz w:val="24"/>
          <w:szCs w:val="24"/>
          <w:lang w:val="en-US"/>
        </w:rPr>
        <w:t xml:space="preserve"> adopt</w:t>
      </w:r>
      <w:r w:rsidR="00547F9E">
        <w:rPr>
          <w:rFonts w:ascii="Times New Roman" w:hAnsi="Times New Roman" w:cs="Times New Roman"/>
          <w:color w:val="000000" w:themeColor="text1"/>
          <w:sz w:val="24"/>
          <w:szCs w:val="24"/>
          <w:lang w:val="en-US"/>
        </w:rPr>
        <w:t>ed</w:t>
      </w:r>
      <w:r w:rsidR="00471023" w:rsidRPr="00471023">
        <w:rPr>
          <w:rFonts w:ascii="Times New Roman" w:hAnsi="Times New Roman" w:cs="Times New Roman"/>
          <w:color w:val="000000" w:themeColor="text1"/>
          <w:sz w:val="24"/>
          <w:szCs w:val="24"/>
          <w:lang w:val="en-US"/>
        </w:rPr>
        <w:t xml:space="preserve"> Article 5(8)(b) and (c) and Article 5(9) of the regional design of the day-ahead and intraday common capacity calculation methodologies for the capacity calculation region comprising Belgium, the Czech Republic, Germany, France, Croatia, Luxembourg, Hungary, the Netherlands, Austria, Poland, Romania, Slovenia and Slovakia, as set out in ACER</w:t>
      </w:r>
      <w:r w:rsidR="00E167A5">
        <w:rPr>
          <w:rFonts w:ascii="Times New Roman" w:hAnsi="Times New Roman" w:cs="Times New Roman"/>
          <w:color w:val="000000" w:themeColor="text1"/>
          <w:sz w:val="24"/>
          <w:szCs w:val="24"/>
          <w:lang w:val="en-US"/>
        </w:rPr>
        <w:t>’s</w:t>
      </w:r>
      <w:r w:rsidR="00471023" w:rsidRPr="00471023">
        <w:rPr>
          <w:rFonts w:ascii="Times New Roman" w:hAnsi="Times New Roman" w:cs="Times New Roman"/>
          <w:color w:val="000000" w:themeColor="text1"/>
          <w:sz w:val="24"/>
          <w:szCs w:val="24"/>
          <w:lang w:val="en-US"/>
        </w:rPr>
        <w:t xml:space="preserve"> Decision No 02</w:t>
      </w:r>
      <w:r w:rsidR="00821FE6">
        <w:rPr>
          <w:rFonts w:ascii="Times New Roman" w:hAnsi="Times New Roman" w:cs="Times New Roman"/>
          <w:color w:val="000000" w:themeColor="text1"/>
          <w:sz w:val="24"/>
          <w:szCs w:val="24"/>
          <w:lang w:val="en-US"/>
        </w:rPr>
        <w:t xml:space="preserve">/2019. </w:t>
      </w:r>
    </w:p>
    <w:p w14:paraId="022DF9C2" w14:textId="5B89D5F7" w:rsidR="00016544" w:rsidRDefault="00555008" w:rsidP="00C6005D">
      <w:pPr>
        <w:spacing w:before="120" w:after="240" w:line="276" w:lineRule="auto"/>
        <w:jc w:val="both"/>
        <w:rPr>
          <w:rFonts w:ascii="Times New Roman" w:hAnsi="Times New Roman" w:cs="Times New Roman"/>
          <w:b/>
          <w:bCs/>
          <w:color w:val="00758F"/>
          <w:sz w:val="24"/>
          <w:szCs w:val="24"/>
          <w:lang w:val="en-US"/>
        </w:rPr>
      </w:pPr>
      <w:r w:rsidRPr="00555008">
        <w:rPr>
          <w:rFonts w:ascii="Times New Roman" w:hAnsi="Times New Roman" w:cs="Times New Roman"/>
          <w:b/>
          <w:bCs/>
          <w:color w:val="00758F"/>
          <w:sz w:val="24"/>
          <w:szCs w:val="24"/>
          <w:lang w:val="en-US"/>
        </w:rPr>
        <w:t xml:space="preserve">Relevance of the case: </w:t>
      </w:r>
    </w:p>
    <w:p w14:paraId="69BE71D5" w14:textId="3C989CDE" w:rsidR="00F0220B" w:rsidRPr="00DC3C98" w:rsidRDefault="00F0220B" w:rsidP="00F0220B">
      <w:pPr>
        <w:spacing w:before="120" w:after="240" w:line="276" w:lineRule="auto"/>
        <w:jc w:val="both"/>
        <w:rPr>
          <w:rFonts w:ascii="Times New Roman" w:hAnsi="Times New Roman" w:cs="Times New Roman"/>
          <w:sz w:val="24"/>
          <w:szCs w:val="24"/>
          <w:lang w:val="en-US"/>
        </w:rPr>
      </w:pPr>
      <w:r w:rsidRPr="00DC3C98">
        <w:rPr>
          <w:rFonts w:ascii="Times New Roman" w:hAnsi="Times New Roman" w:cs="Times New Roman"/>
          <w:sz w:val="24"/>
          <w:szCs w:val="24"/>
          <w:lang w:val="en-US"/>
        </w:rPr>
        <w:t xml:space="preserve">The General Court’s annulment of </w:t>
      </w:r>
      <w:r w:rsidR="006C6FA4" w:rsidRPr="00DC3C98">
        <w:rPr>
          <w:rFonts w:ascii="Times New Roman" w:hAnsi="Times New Roman" w:cs="Times New Roman"/>
          <w:sz w:val="24"/>
          <w:szCs w:val="24"/>
          <w:lang w:val="en-US"/>
        </w:rPr>
        <w:t>Decision A-003-</w:t>
      </w:r>
      <w:r w:rsidR="00670D8D" w:rsidRPr="00DC3C98">
        <w:rPr>
          <w:rFonts w:ascii="Times New Roman" w:hAnsi="Times New Roman" w:cs="Times New Roman"/>
          <w:sz w:val="24"/>
          <w:szCs w:val="24"/>
          <w:lang w:val="en-US"/>
        </w:rPr>
        <w:t>2019 of ACER’s Board of Appeal</w:t>
      </w:r>
      <w:r w:rsidR="007A6BC6" w:rsidRPr="00DC3C98">
        <w:rPr>
          <w:rFonts w:ascii="Times New Roman" w:hAnsi="Times New Roman" w:cs="Times New Roman"/>
          <w:sz w:val="24"/>
          <w:szCs w:val="24"/>
          <w:lang w:val="en-US"/>
        </w:rPr>
        <w:t xml:space="preserve"> </w:t>
      </w:r>
      <w:r w:rsidRPr="00DC3C98">
        <w:rPr>
          <w:rFonts w:ascii="Times New Roman" w:hAnsi="Times New Roman" w:cs="Times New Roman"/>
          <w:sz w:val="24"/>
          <w:szCs w:val="24"/>
          <w:lang w:val="en-US"/>
        </w:rPr>
        <w:t xml:space="preserve">marks a significant clarification of the EU’s institutional framework and the limits of </w:t>
      </w:r>
      <w:r w:rsidR="00554884" w:rsidRPr="00DC3C98">
        <w:rPr>
          <w:rFonts w:ascii="Times New Roman" w:hAnsi="Times New Roman" w:cs="Times New Roman"/>
          <w:sz w:val="24"/>
          <w:szCs w:val="24"/>
          <w:lang w:val="en-US"/>
        </w:rPr>
        <w:t xml:space="preserve">ACER’s </w:t>
      </w:r>
      <w:r w:rsidRPr="00DC3C98">
        <w:rPr>
          <w:rFonts w:ascii="Times New Roman" w:hAnsi="Times New Roman" w:cs="Times New Roman"/>
          <w:sz w:val="24"/>
          <w:szCs w:val="24"/>
          <w:lang w:val="en-US"/>
        </w:rPr>
        <w:t>powers.</w:t>
      </w:r>
    </w:p>
    <w:p w14:paraId="1247B4F4" w14:textId="77777777" w:rsidR="00F0220B" w:rsidRPr="00DC3C98" w:rsidRDefault="00F0220B" w:rsidP="00F0220B">
      <w:pPr>
        <w:spacing w:before="120" w:after="240" w:line="276" w:lineRule="auto"/>
        <w:jc w:val="both"/>
        <w:rPr>
          <w:rFonts w:ascii="Times New Roman" w:hAnsi="Times New Roman" w:cs="Times New Roman"/>
          <w:sz w:val="24"/>
          <w:szCs w:val="24"/>
          <w:lang w:val="en-US"/>
        </w:rPr>
      </w:pPr>
      <w:r w:rsidRPr="00DC3C98">
        <w:rPr>
          <w:rFonts w:ascii="Times New Roman" w:hAnsi="Times New Roman" w:cs="Times New Roman"/>
          <w:sz w:val="24"/>
          <w:szCs w:val="24"/>
          <w:lang w:val="en-US"/>
        </w:rPr>
        <w:t xml:space="preserve">This ruling is important for several </w:t>
      </w:r>
      <w:commentRangeStart w:id="10"/>
      <w:r w:rsidRPr="00DC3C98">
        <w:rPr>
          <w:rFonts w:ascii="Times New Roman" w:hAnsi="Times New Roman" w:cs="Times New Roman"/>
          <w:sz w:val="24"/>
          <w:szCs w:val="24"/>
          <w:lang w:val="en-US"/>
        </w:rPr>
        <w:t>reasons</w:t>
      </w:r>
      <w:commentRangeEnd w:id="10"/>
      <w:r w:rsidR="00D82393">
        <w:rPr>
          <w:rStyle w:val="Rimandocommento"/>
        </w:rPr>
        <w:commentReference w:id="10"/>
      </w:r>
      <w:r w:rsidRPr="00DC3C98">
        <w:rPr>
          <w:rFonts w:ascii="Times New Roman" w:hAnsi="Times New Roman" w:cs="Times New Roman"/>
          <w:sz w:val="24"/>
          <w:szCs w:val="24"/>
          <w:lang w:val="en-US"/>
        </w:rPr>
        <w:t>:</w:t>
      </w:r>
    </w:p>
    <w:p w14:paraId="668D2A33" w14:textId="673A6551" w:rsidR="00EE2DE9" w:rsidRPr="00DC3C98" w:rsidRDefault="00AE28B5" w:rsidP="00AE28B5">
      <w:pPr>
        <w:pStyle w:val="Paragrafoelenco"/>
        <w:numPr>
          <w:ilvl w:val="0"/>
          <w:numId w:val="5"/>
        </w:numPr>
        <w:spacing w:before="120" w:after="240" w:line="276" w:lineRule="auto"/>
        <w:jc w:val="both"/>
        <w:rPr>
          <w:rFonts w:ascii="Times New Roman" w:hAnsi="Times New Roman" w:cs="Times New Roman"/>
          <w:sz w:val="24"/>
          <w:szCs w:val="24"/>
          <w:lang w:val="en-US"/>
        </w:rPr>
      </w:pPr>
      <w:r w:rsidRPr="00DC3C98">
        <w:rPr>
          <w:rFonts w:ascii="Times New Roman" w:hAnsi="Times New Roman" w:cs="Times New Roman"/>
          <w:b/>
          <w:bCs/>
          <w:sz w:val="24"/>
          <w:szCs w:val="24"/>
          <w:lang w:val="en-US"/>
        </w:rPr>
        <w:t>Clarification of Regulatory Limits</w:t>
      </w:r>
      <w:r w:rsidR="00EE2DE9" w:rsidRPr="00DC3C98">
        <w:rPr>
          <w:rFonts w:ascii="Times New Roman" w:hAnsi="Times New Roman" w:cs="Times New Roman"/>
          <w:b/>
          <w:bCs/>
          <w:sz w:val="24"/>
          <w:szCs w:val="24"/>
          <w:lang w:val="en-US"/>
        </w:rPr>
        <w:t xml:space="preserve">. </w:t>
      </w:r>
      <w:r w:rsidRPr="00DC3C98">
        <w:rPr>
          <w:rFonts w:ascii="Times New Roman" w:hAnsi="Times New Roman" w:cs="Times New Roman"/>
          <w:sz w:val="24"/>
          <w:szCs w:val="24"/>
          <w:lang w:val="en-US"/>
        </w:rPr>
        <w:t>The Court firmly established that ACER cannot impose additional obligations</w:t>
      </w:r>
      <w:r w:rsidR="00EE2DE9" w:rsidRPr="00DC3C98">
        <w:rPr>
          <w:rFonts w:ascii="Times New Roman" w:hAnsi="Times New Roman" w:cs="Times New Roman"/>
          <w:sz w:val="24"/>
          <w:szCs w:val="24"/>
          <w:lang w:val="en-US"/>
        </w:rPr>
        <w:t xml:space="preserve"> – </w:t>
      </w:r>
      <w:r w:rsidRPr="00DC3C98">
        <w:rPr>
          <w:rFonts w:ascii="Times New Roman" w:hAnsi="Times New Roman" w:cs="Times New Roman"/>
          <w:sz w:val="24"/>
          <w:szCs w:val="24"/>
          <w:lang w:val="en-US"/>
        </w:rPr>
        <w:t>such as economic efficiency analyses or impact assessments</w:t>
      </w:r>
      <w:r w:rsidR="00EE2DE9" w:rsidRPr="00DC3C98">
        <w:rPr>
          <w:rFonts w:ascii="Times New Roman" w:hAnsi="Times New Roman" w:cs="Times New Roman"/>
          <w:sz w:val="24"/>
          <w:szCs w:val="24"/>
          <w:lang w:val="en-US"/>
        </w:rPr>
        <w:t xml:space="preserve"> – </w:t>
      </w:r>
      <w:r w:rsidRPr="00DC3C98">
        <w:rPr>
          <w:rFonts w:ascii="Times New Roman" w:hAnsi="Times New Roman" w:cs="Times New Roman"/>
          <w:sz w:val="24"/>
          <w:szCs w:val="24"/>
          <w:lang w:val="en-US"/>
        </w:rPr>
        <w:t xml:space="preserve">that are not explicitly provided for in EU legislation. Specifically, it held that Articles 14 to 16 of Regulation (EU) 2019/943 and Article 29(3)(b) of Regulation (EU) 2015/1222 do not authorize </w:t>
      </w:r>
      <w:r w:rsidR="00B43260">
        <w:rPr>
          <w:rFonts w:ascii="Times New Roman" w:hAnsi="Times New Roman" w:cs="Times New Roman"/>
          <w:sz w:val="24"/>
          <w:szCs w:val="24"/>
          <w:lang w:val="en-US"/>
        </w:rPr>
        <w:t xml:space="preserve">the introduction of </w:t>
      </w:r>
      <w:r w:rsidRPr="00DC3C98">
        <w:rPr>
          <w:rFonts w:ascii="Times New Roman" w:hAnsi="Times New Roman" w:cs="Times New Roman"/>
          <w:sz w:val="24"/>
          <w:szCs w:val="24"/>
          <w:lang w:val="en-US"/>
        </w:rPr>
        <w:t xml:space="preserve">requirements </w:t>
      </w:r>
      <w:r w:rsidR="00F31953">
        <w:rPr>
          <w:rFonts w:ascii="Times New Roman" w:hAnsi="Times New Roman" w:cs="Times New Roman"/>
          <w:sz w:val="24"/>
          <w:szCs w:val="24"/>
          <w:lang w:val="en-US"/>
        </w:rPr>
        <w:t xml:space="preserve">that go </w:t>
      </w:r>
      <w:r w:rsidRPr="00DC3C98">
        <w:rPr>
          <w:rFonts w:ascii="Times New Roman" w:hAnsi="Times New Roman" w:cs="Times New Roman"/>
          <w:sz w:val="24"/>
          <w:szCs w:val="24"/>
          <w:lang w:val="en-US"/>
        </w:rPr>
        <w:t xml:space="preserve">beyond the </w:t>
      </w:r>
      <w:r w:rsidR="00F31953">
        <w:rPr>
          <w:rFonts w:ascii="Times New Roman" w:hAnsi="Times New Roman" w:cs="Times New Roman"/>
          <w:sz w:val="24"/>
          <w:szCs w:val="24"/>
          <w:lang w:val="en-US"/>
        </w:rPr>
        <w:t xml:space="preserve">mere </w:t>
      </w:r>
      <w:r w:rsidRPr="00DC3C98">
        <w:rPr>
          <w:rFonts w:ascii="Times New Roman" w:hAnsi="Times New Roman" w:cs="Times New Roman"/>
          <w:sz w:val="24"/>
          <w:szCs w:val="24"/>
          <w:lang w:val="en-US"/>
        </w:rPr>
        <w:t xml:space="preserve">submission of </w:t>
      </w:r>
      <w:r w:rsidR="00F31953">
        <w:rPr>
          <w:rFonts w:ascii="Times New Roman" w:hAnsi="Times New Roman" w:cs="Times New Roman"/>
          <w:sz w:val="24"/>
          <w:szCs w:val="24"/>
          <w:lang w:val="en-US"/>
        </w:rPr>
        <w:t xml:space="preserve">the list of </w:t>
      </w:r>
      <w:r w:rsidRPr="00DC3C98">
        <w:rPr>
          <w:rFonts w:ascii="Times New Roman" w:hAnsi="Times New Roman" w:cs="Times New Roman"/>
          <w:sz w:val="24"/>
          <w:szCs w:val="24"/>
          <w:lang w:val="en-US"/>
        </w:rPr>
        <w:t>internal critical network elements (CNEs) that are significantly influenced by cross-zonal exchanges</w:t>
      </w:r>
      <w:r w:rsidR="00EE2DE9" w:rsidRPr="00DC3C98">
        <w:rPr>
          <w:rFonts w:ascii="Times New Roman" w:hAnsi="Times New Roman" w:cs="Times New Roman"/>
          <w:sz w:val="24"/>
          <w:szCs w:val="24"/>
          <w:lang w:val="en-US"/>
        </w:rPr>
        <w:t xml:space="preserve">. </w:t>
      </w:r>
    </w:p>
    <w:p w14:paraId="1D028607" w14:textId="77777777" w:rsidR="007D5383" w:rsidRPr="00DC3C98" w:rsidRDefault="00AE28B5" w:rsidP="00AE28B5">
      <w:pPr>
        <w:pStyle w:val="Paragrafoelenco"/>
        <w:numPr>
          <w:ilvl w:val="0"/>
          <w:numId w:val="5"/>
        </w:numPr>
        <w:spacing w:before="120" w:after="240" w:line="276" w:lineRule="auto"/>
        <w:jc w:val="both"/>
        <w:rPr>
          <w:rFonts w:ascii="Times New Roman" w:hAnsi="Times New Roman" w:cs="Times New Roman"/>
          <w:sz w:val="24"/>
          <w:szCs w:val="24"/>
          <w:lang w:val="en-US"/>
        </w:rPr>
      </w:pPr>
      <w:r w:rsidRPr="00DC3C98">
        <w:rPr>
          <w:rFonts w:ascii="Times New Roman" w:hAnsi="Times New Roman" w:cs="Times New Roman"/>
          <w:b/>
          <w:bCs/>
          <w:sz w:val="24"/>
          <w:szCs w:val="24"/>
          <w:lang w:val="en-US"/>
        </w:rPr>
        <w:t>Institutional Legitimacy and Legal Certainty</w:t>
      </w:r>
      <w:r w:rsidR="00EE2DE9" w:rsidRPr="00DC3C98">
        <w:rPr>
          <w:rFonts w:ascii="Times New Roman" w:hAnsi="Times New Roman" w:cs="Times New Roman"/>
          <w:sz w:val="24"/>
          <w:szCs w:val="24"/>
          <w:lang w:val="en-US"/>
        </w:rPr>
        <w:t xml:space="preserve">. </w:t>
      </w:r>
      <w:r w:rsidRPr="00DC3C98">
        <w:rPr>
          <w:rFonts w:ascii="Times New Roman" w:hAnsi="Times New Roman" w:cs="Times New Roman"/>
          <w:sz w:val="24"/>
          <w:szCs w:val="24"/>
          <w:lang w:val="en-US"/>
        </w:rPr>
        <w:t>The ruling reinforces the principle of institutional balance by limiting ACER’s regulatory discretion. It confirms that EU agencies must operate strictly within the legal framework established by the legislature and cannot reinterpret or expand it in ways that affect the rights and responsibilities of Member States or national regulatory authorities.</w:t>
      </w:r>
    </w:p>
    <w:p w14:paraId="6D4A0D71" w14:textId="7A11BCCE" w:rsidR="007D5383" w:rsidRPr="00DC3C98" w:rsidRDefault="00AE28B5" w:rsidP="00EB41F8">
      <w:pPr>
        <w:pStyle w:val="Paragrafoelenco"/>
        <w:numPr>
          <w:ilvl w:val="0"/>
          <w:numId w:val="5"/>
        </w:numPr>
        <w:spacing w:before="120" w:after="240" w:line="276" w:lineRule="auto"/>
        <w:jc w:val="both"/>
        <w:rPr>
          <w:rFonts w:ascii="Times New Roman" w:hAnsi="Times New Roman" w:cs="Times New Roman"/>
          <w:sz w:val="24"/>
          <w:szCs w:val="24"/>
          <w:lang w:val="en-US"/>
        </w:rPr>
      </w:pPr>
      <w:r w:rsidRPr="00DC3C98">
        <w:rPr>
          <w:rFonts w:ascii="Times New Roman" w:hAnsi="Times New Roman" w:cs="Times New Roman"/>
          <w:b/>
          <w:bCs/>
          <w:sz w:val="24"/>
          <w:szCs w:val="24"/>
          <w:lang w:val="en-US"/>
        </w:rPr>
        <w:t>Protection of National Competence in Market Design</w:t>
      </w:r>
      <w:r w:rsidR="007D5383" w:rsidRPr="00DC3C98">
        <w:rPr>
          <w:rFonts w:ascii="Times New Roman" w:hAnsi="Times New Roman" w:cs="Times New Roman"/>
          <w:sz w:val="24"/>
          <w:szCs w:val="24"/>
          <w:lang w:val="en-US"/>
        </w:rPr>
        <w:t xml:space="preserve">. </w:t>
      </w:r>
      <w:r w:rsidRPr="00DC3C98">
        <w:rPr>
          <w:rFonts w:ascii="Times New Roman" w:hAnsi="Times New Roman" w:cs="Times New Roman"/>
          <w:sz w:val="24"/>
          <w:szCs w:val="24"/>
          <w:lang w:val="en-US"/>
        </w:rPr>
        <w:t>The judgment safeguards the role of Member States and national regulators in shaping electricity market structures</w:t>
      </w:r>
      <w:r w:rsidR="0035358E" w:rsidRPr="00DC3C98">
        <w:rPr>
          <w:rFonts w:ascii="Times New Roman" w:hAnsi="Times New Roman" w:cs="Times New Roman"/>
          <w:sz w:val="24"/>
          <w:szCs w:val="24"/>
          <w:lang w:val="en-US"/>
        </w:rPr>
        <w:t xml:space="preserve"> – </w:t>
      </w:r>
      <w:r w:rsidRPr="00DC3C98">
        <w:rPr>
          <w:rFonts w:ascii="Times New Roman" w:hAnsi="Times New Roman" w:cs="Times New Roman"/>
          <w:sz w:val="24"/>
          <w:szCs w:val="24"/>
          <w:lang w:val="en-US"/>
        </w:rPr>
        <w:t>particularly regarding structural congestion and bidding zone configurations</w:t>
      </w:r>
      <w:r w:rsidR="0035358E" w:rsidRPr="00DC3C98">
        <w:rPr>
          <w:rFonts w:ascii="Times New Roman" w:hAnsi="Times New Roman" w:cs="Times New Roman"/>
          <w:sz w:val="24"/>
          <w:szCs w:val="24"/>
          <w:lang w:val="en-US"/>
        </w:rPr>
        <w:t xml:space="preserve"> – </w:t>
      </w:r>
      <w:r w:rsidRPr="00DC3C98">
        <w:rPr>
          <w:rFonts w:ascii="Times New Roman" w:hAnsi="Times New Roman" w:cs="Times New Roman"/>
          <w:sz w:val="24"/>
          <w:szCs w:val="24"/>
          <w:lang w:val="en-US"/>
        </w:rPr>
        <w:t>ensuring that EU agencies respect national prerogatives and do not overstep their mandate.</w:t>
      </w:r>
    </w:p>
    <w:p w14:paraId="091102FE" w14:textId="121690DE" w:rsidR="00AE28B5" w:rsidRPr="00DC3C98" w:rsidRDefault="00AE28B5" w:rsidP="001E3C4A">
      <w:pPr>
        <w:pStyle w:val="Paragrafoelenco"/>
        <w:numPr>
          <w:ilvl w:val="0"/>
          <w:numId w:val="5"/>
        </w:numPr>
        <w:spacing w:before="120" w:after="240" w:line="276" w:lineRule="auto"/>
        <w:jc w:val="both"/>
        <w:rPr>
          <w:rFonts w:ascii="Times New Roman" w:hAnsi="Times New Roman" w:cs="Times New Roman"/>
          <w:sz w:val="24"/>
          <w:szCs w:val="24"/>
          <w:lang w:val="en-US"/>
        </w:rPr>
      </w:pPr>
      <w:r w:rsidRPr="00DC3C98">
        <w:rPr>
          <w:rFonts w:ascii="Times New Roman" w:hAnsi="Times New Roman" w:cs="Times New Roman"/>
          <w:b/>
          <w:bCs/>
          <w:sz w:val="24"/>
          <w:szCs w:val="24"/>
          <w:lang w:val="en-US"/>
        </w:rPr>
        <w:t>Strengthening the Rule of Law in Energy Regulation</w:t>
      </w:r>
      <w:r w:rsidR="007D5383" w:rsidRPr="00DC3C98">
        <w:rPr>
          <w:rFonts w:ascii="Times New Roman" w:hAnsi="Times New Roman" w:cs="Times New Roman"/>
          <w:sz w:val="24"/>
          <w:szCs w:val="24"/>
          <w:lang w:val="en-US"/>
        </w:rPr>
        <w:t xml:space="preserve">. </w:t>
      </w:r>
      <w:r w:rsidRPr="00DC3C98">
        <w:rPr>
          <w:rFonts w:ascii="Times New Roman" w:hAnsi="Times New Roman" w:cs="Times New Roman"/>
          <w:sz w:val="24"/>
          <w:szCs w:val="24"/>
          <w:lang w:val="en-US"/>
        </w:rPr>
        <w:t xml:space="preserve">By annulling the contested provisions </w:t>
      </w:r>
      <w:r w:rsidRPr="00DC3C98">
        <w:rPr>
          <w:rFonts w:ascii="Times New Roman" w:hAnsi="Times New Roman" w:cs="Times New Roman"/>
          <w:sz w:val="24"/>
          <w:szCs w:val="24"/>
          <w:lang w:val="en-US"/>
        </w:rPr>
        <w:lastRenderedPageBreak/>
        <w:t>of ACER’s methodologies, the Court emphasized the importance of strict adherence to the legal framework governing the internal electricity market. It also highlighted the need for a literal, contextual and purposive interpretation of EU regulations, ensuring that regulatory bodies act only within the scope of powers delegated to them.</w:t>
      </w:r>
    </w:p>
    <w:p w14:paraId="5B99DAC5" w14:textId="31E24733" w:rsidR="00E656A9" w:rsidRPr="00DC3C98" w:rsidRDefault="00E656A9" w:rsidP="00E656A9">
      <w:pPr>
        <w:spacing w:before="120" w:after="240" w:line="276" w:lineRule="auto"/>
        <w:jc w:val="both"/>
        <w:rPr>
          <w:rFonts w:ascii="Times New Roman" w:hAnsi="Times New Roman" w:cs="Times New Roman"/>
          <w:sz w:val="24"/>
          <w:szCs w:val="24"/>
          <w:lang w:val="en-US"/>
        </w:rPr>
      </w:pPr>
      <w:r w:rsidRPr="00DC3C98">
        <w:rPr>
          <w:rFonts w:ascii="Times New Roman" w:hAnsi="Times New Roman" w:cs="Times New Roman"/>
          <w:sz w:val="24"/>
          <w:szCs w:val="24"/>
          <w:lang w:val="en-US"/>
        </w:rPr>
        <w:t>Ultimately, the judgment reinforces the foundational principle that EU institutions must respect the limits of their delegated authority, thereby upholding legal certainty and the rule of law across the Union</w:t>
      </w:r>
      <w:r w:rsidR="003C4AAE">
        <w:rPr>
          <w:rFonts w:ascii="Times New Roman" w:hAnsi="Times New Roman" w:cs="Times New Roman"/>
          <w:sz w:val="24"/>
          <w:szCs w:val="24"/>
          <w:lang w:val="en-US"/>
        </w:rPr>
        <w:t xml:space="preserve"> as enshrined in Article 2 of the Treaty on European </w:t>
      </w:r>
      <w:commentRangeStart w:id="11"/>
      <w:r w:rsidR="003C4AAE">
        <w:rPr>
          <w:rFonts w:ascii="Times New Roman" w:hAnsi="Times New Roman" w:cs="Times New Roman"/>
          <w:sz w:val="24"/>
          <w:szCs w:val="24"/>
          <w:lang w:val="en-US"/>
        </w:rPr>
        <w:t>Union</w:t>
      </w:r>
      <w:commentRangeEnd w:id="11"/>
      <w:r w:rsidR="003C4AAE">
        <w:rPr>
          <w:rStyle w:val="Rimandocommento"/>
        </w:rPr>
        <w:commentReference w:id="11"/>
      </w:r>
      <w:r w:rsidRPr="00DC3C98">
        <w:rPr>
          <w:rFonts w:ascii="Times New Roman" w:hAnsi="Times New Roman" w:cs="Times New Roman"/>
          <w:sz w:val="24"/>
          <w:szCs w:val="24"/>
          <w:lang w:val="en-US"/>
        </w:rPr>
        <w:t>.</w:t>
      </w:r>
    </w:p>
    <w:p w14:paraId="17677866" w14:textId="77777777" w:rsidR="00016544" w:rsidRPr="004B5B83" w:rsidRDefault="00016544" w:rsidP="00C6005D">
      <w:pPr>
        <w:spacing w:before="120" w:after="240" w:line="276" w:lineRule="auto"/>
        <w:jc w:val="both"/>
        <w:rPr>
          <w:rFonts w:ascii="Times New Roman" w:hAnsi="Times New Roman" w:cs="Times New Roman"/>
          <w:color w:val="000000" w:themeColor="text1"/>
          <w:sz w:val="24"/>
          <w:szCs w:val="24"/>
          <w:lang w:val="en-US"/>
        </w:rPr>
      </w:pPr>
    </w:p>
    <w:p w14:paraId="1F8C0718" w14:textId="77777777" w:rsidR="002E0067" w:rsidRPr="004B5B83" w:rsidRDefault="002E0067" w:rsidP="00EC188D">
      <w:pPr>
        <w:spacing w:line="276" w:lineRule="auto"/>
        <w:jc w:val="both"/>
        <w:rPr>
          <w:rFonts w:ascii="Times New Roman" w:hAnsi="Times New Roman" w:cs="Times New Roman"/>
          <w:color w:val="000000" w:themeColor="text1"/>
          <w:lang w:val="en-US"/>
        </w:rPr>
        <w:sectPr w:rsidR="002E0067" w:rsidRPr="004B5B83" w:rsidSect="004D4D29">
          <w:headerReference w:type="default" r:id="rId18"/>
          <w:footerReference w:type="default" r:id="rId19"/>
          <w:pgSz w:w="11910" w:h="16840"/>
          <w:pgMar w:top="1985" w:right="1137" w:bottom="1135" w:left="993" w:header="731" w:footer="720" w:gutter="0"/>
          <w:cols w:space="720"/>
          <w:docGrid w:linePitch="299"/>
        </w:sectPr>
      </w:pPr>
    </w:p>
    <w:p w14:paraId="59F8DD7D" w14:textId="77777777" w:rsidR="002E0067" w:rsidRPr="004B5B83" w:rsidRDefault="002E0067" w:rsidP="00EC188D">
      <w:pPr>
        <w:spacing w:line="276" w:lineRule="auto"/>
        <w:jc w:val="both"/>
        <w:rPr>
          <w:rFonts w:ascii="Times New Roman" w:hAnsi="Times New Roman" w:cs="Times New Roman"/>
          <w:color w:val="000000" w:themeColor="text1"/>
          <w:lang w:val="en-US"/>
        </w:rPr>
      </w:pPr>
    </w:p>
    <w:sectPr w:rsidR="002E0067" w:rsidRPr="004B5B83" w:rsidSect="004D4D29">
      <w:headerReference w:type="default" r:id="rId20"/>
      <w:pgSz w:w="11910" w:h="16840"/>
      <w:pgMar w:top="1985" w:right="1137" w:bottom="1135" w:left="993" w:header="731"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vaste, Giulia" w:date="2025-10-24T18:29:00Z" w:initials="GL">
    <w:p w14:paraId="7486AA2A" w14:textId="77777777" w:rsidR="00C17EF9" w:rsidRDefault="00C17EF9" w:rsidP="00C17EF9">
      <w:pPr>
        <w:pStyle w:val="Testocommento"/>
      </w:pPr>
      <w:r>
        <w:rPr>
          <w:rStyle w:val="Rimandocommento"/>
        </w:rPr>
        <w:annotationRef/>
      </w:r>
      <w:r>
        <w:t xml:space="preserve">Speghiamo in nota chi sono le Core region in nota </w:t>
      </w:r>
    </w:p>
  </w:comment>
  <w:comment w:id="1" w:author="GA-Alliance" w:date="2025-12-16T17:43:00Z" w:initials="GA">
    <w:p w14:paraId="2BBFAD3F" w14:textId="77777777" w:rsidR="00F631A2" w:rsidRDefault="00021888" w:rsidP="00F631A2">
      <w:pPr>
        <w:pStyle w:val="Testocommento"/>
      </w:pPr>
      <w:r>
        <w:rPr>
          <w:rStyle w:val="Rimandocommento"/>
        </w:rPr>
        <w:annotationRef/>
      </w:r>
      <w:r w:rsidR="00F631A2">
        <w:t>Please provide the footnote with the link to the Regulation (as added now in track changes) along with the status of it (repealed( and cite the exact provision providing for the possibility of adopting guidelines.</w:t>
      </w:r>
    </w:p>
  </w:comment>
  <w:comment w:id="2" w:author="Lovaste, Giulia" w:date="2025-10-24T18:43:00Z" w:initials="GL">
    <w:p w14:paraId="3C8043E2" w14:textId="5FCB1A12" w:rsidR="00CB2C90" w:rsidRDefault="00CB2C90" w:rsidP="00CB2C90">
      <w:pPr>
        <w:pStyle w:val="Testocommento"/>
      </w:pPr>
      <w:r>
        <w:rPr>
          <w:rStyle w:val="Rimandocommento"/>
        </w:rPr>
        <w:annotationRef/>
      </w:r>
      <w:r>
        <w:t xml:space="preserve">Spieghiamo anche questo </w:t>
      </w:r>
    </w:p>
  </w:comment>
  <w:comment w:id="3" w:author="Lovaste, Giulia" w:date="2025-10-24T18:43:00Z" w:initials="GL">
    <w:p w14:paraId="158D56BA" w14:textId="77777777" w:rsidR="00CB2C90" w:rsidRDefault="00CB2C90" w:rsidP="00CB2C90">
      <w:pPr>
        <w:pStyle w:val="Testocommento"/>
      </w:pPr>
      <w:r>
        <w:rPr>
          <w:rStyle w:val="Rimandocommento"/>
        </w:rPr>
        <w:annotationRef/>
      </w:r>
      <w:r>
        <w:t xml:space="preserve">Anche questo </w:t>
      </w:r>
    </w:p>
  </w:comment>
  <w:comment w:id="5" w:author="Lovaste, Giulia" w:date="2025-10-24T18:42:00Z" w:initials="GL">
    <w:p w14:paraId="19D6265E" w14:textId="4AA35FA1" w:rsidR="00CF494A" w:rsidRDefault="00CF494A" w:rsidP="00CF494A">
      <w:pPr>
        <w:pStyle w:val="Testocommento"/>
      </w:pPr>
      <w:r>
        <w:rPr>
          <w:rStyle w:val="Rimandocommento"/>
        </w:rPr>
        <w:annotationRef/>
      </w:r>
      <w:r>
        <w:t xml:space="preserve">Mettiamo in nota questi concetti </w:t>
      </w:r>
    </w:p>
  </w:comment>
  <w:comment w:id="6" w:author="Lovaste, Giulia" w:date="2025-10-24T18:42:00Z" w:initials="GL">
    <w:p w14:paraId="1E96298D" w14:textId="77777777" w:rsidR="00F502CA" w:rsidRDefault="00F502CA" w:rsidP="00F502CA">
      <w:pPr>
        <w:pStyle w:val="Testocommento"/>
      </w:pPr>
      <w:r>
        <w:rPr>
          <w:rStyle w:val="Rimandocommento"/>
        </w:rPr>
        <w:annotationRef/>
      </w:r>
      <w:r>
        <w:t xml:space="preserve">Anche questo </w:t>
      </w:r>
    </w:p>
  </w:comment>
  <w:comment w:id="4" w:author="GA-Alliance" w:date="2025-12-16T17:50:00Z" w:initials="GA">
    <w:p w14:paraId="148900FA" w14:textId="77777777" w:rsidR="00902C6D" w:rsidRDefault="00902C6D" w:rsidP="00902C6D">
      <w:pPr>
        <w:pStyle w:val="Testocommento"/>
      </w:pPr>
      <w:r>
        <w:rPr>
          <w:rStyle w:val="Rimandocommento"/>
        </w:rPr>
        <w:annotationRef/>
      </w:r>
      <w:r>
        <w:t>In the relevant footnotes explaining the terms, please also add the specific provision where they are mentioned.</w:t>
      </w:r>
    </w:p>
  </w:comment>
  <w:comment w:id="7" w:author="Lovaste, Giulia" w:date="2025-10-24T18:54:00Z" w:initials="GL">
    <w:p w14:paraId="2795543B" w14:textId="702A17B2" w:rsidR="00FE2E1B" w:rsidRDefault="00FE2E1B" w:rsidP="00FE2E1B">
      <w:pPr>
        <w:pStyle w:val="Testocommento"/>
      </w:pPr>
      <w:r>
        <w:rPr>
          <w:rStyle w:val="Rimandocommento"/>
        </w:rPr>
        <w:annotationRef/>
      </w:r>
      <w:r>
        <w:t xml:space="preserve">Qui quello che rileva sono le tempistiche, quindi dobbiamo metterle </w:t>
      </w:r>
    </w:p>
  </w:comment>
  <w:comment w:id="8" w:author="GA-Alliance" w:date="2025-12-16T18:00:00Z" w:initials="GA">
    <w:p w14:paraId="033B312B" w14:textId="77777777" w:rsidR="008A20D2" w:rsidRDefault="008A20D2" w:rsidP="008A20D2">
      <w:pPr>
        <w:pStyle w:val="Testocommento"/>
      </w:pPr>
      <w:r>
        <w:rPr>
          <w:rStyle w:val="Rimandocommento"/>
        </w:rPr>
        <w:annotationRef/>
      </w:r>
      <w:r>
        <w:t>Please add reference to the General Court’s ruling and specific paragraph reflecting the content of the sentence.</w:t>
      </w:r>
    </w:p>
  </w:comment>
  <w:comment w:id="9" w:author="Lovaste, Giulia" w:date="2025-10-24T18:56:00Z" w:initials="GL">
    <w:p w14:paraId="383EE7A1" w14:textId="4B85912D" w:rsidR="002B7858" w:rsidRDefault="002B7858" w:rsidP="002B7858">
      <w:pPr>
        <w:pStyle w:val="Testocommento"/>
      </w:pPr>
      <w:r>
        <w:rPr>
          <w:rStyle w:val="Rimandocommento"/>
        </w:rPr>
        <w:annotationRef/>
      </w:r>
      <w:r>
        <w:t>Davanti a chi?</w:t>
      </w:r>
    </w:p>
  </w:comment>
  <w:comment w:id="10" w:author="GA-Alliance" w:date="2025-12-16T19:06:00Z" w:initials="GA">
    <w:p w14:paraId="2F4BE127" w14:textId="77777777" w:rsidR="00D82393" w:rsidRDefault="00D82393" w:rsidP="00D82393">
      <w:pPr>
        <w:pStyle w:val="Testocommento"/>
      </w:pPr>
      <w:r>
        <w:rPr>
          <w:rStyle w:val="Rimandocommento"/>
        </w:rPr>
        <w:annotationRef/>
      </w:r>
      <w:r>
        <w:t>In the core points of the ruling that are exposed below, it is suggested that reference to the specific paragraphs of the ruling are referenced in footnotes or in brackets in the main text.</w:t>
      </w:r>
    </w:p>
  </w:comment>
  <w:comment w:id="11" w:author="GA-Alliance" w:date="2025-12-16T19:04:00Z" w:initials="GA">
    <w:p w14:paraId="0629D4AE" w14:textId="60D6D075" w:rsidR="003C4AAE" w:rsidRDefault="003C4AAE" w:rsidP="003C4AAE">
      <w:pPr>
        <w:pStyle w:val="Testocommento"/>
      </w:pPr>
      <w:r>
        <w:rPr>
          <w:rStyle w:val="Rimandocommento"/>
        </w:rPr>
        <w:annotationRef/>
      </w:r>
      <w:r>
        <w:t>Suggestion: here you could add a reference to the EU Treaties providing for the rule of law to highlight also the importance of the ruling.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486AA2A" w15:done="1"/>
  <w15:commentEx w15:paraId="2BBFAD3F" w15:done="1"/>
  <w15:commentEx w15:paraId="3C8043E2" w15:done="1"/>
  <w15:commentEx w15:paraId="158D56BA" w15:done="1"/>
  <w15:commentEx w15:paraId="19D6265E" w15:done="1"/>
  <w15:commentEx w15:paraId="1E96298D" w15:done="1"/>
  <w15:commentEx w15:paraId="148900FA" w15:done="1"/>
  <w15:commentEx w15:paraId="2795543B" w15:done="1"/>
  <w15:commentEx w15:paraId="033B312B" w15:done="1"/>
  <w15:commentEx w15:paraId="383EE7A1" w15:done="1"/>
  <w15:commentEx w15:paraId="2F4BE127" w15:done="1"/>
  <w15:commentEx w15:paraId="0629D4A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797B14" w16cex:dateUtc="2025-10-24T16:29:00Z"/>
  <w16cex:commentExtensible w16cex:durableId="25D6B6A2" w16cex:dateUtc="2025-12-16T16:43:00Z"/>
  <w16cex:commentExtensible w16cex:durableId="3F9D49B0" w16cex:dateUtc="2025-10-24T16:43:00Z"/>
  <w16cex:commentExtensible w16cex:durableId="169CF2B2" w16cex:dateUtc="2025-10-24T16:43:00Z"/>
  <w16cex:commentExtensible w16cex:durableId="2038DB33" w16cex:dateUtc="2025-10-24T16:42:00Z"/>
  <w16cex:commentExtensible w16cex:durableId="08F3F511" w16cex:dateUtc="2025-10-24T16:42:00Z"/>
  <w16cex:commentExtensible w16cex:durableId="58B9AF89" w16cex:dateUtc="2025-12-16T16:50:00Z"/>
  <w16cex:commentExtensible w16cex:durableId="2C54DBC2" w16cex:dateUtc="2025-10-24T16:54:00Z"/>
  <w16cex:commentExtensible w16cex:durableId="2F2E4FF3" w16cex:dateUtc="2025-12-16T17:00:00Z"/>
  <w16cex:commentExtensible w16cex:durableId="15532523" w16cex:dateUtc="2025-10-24T16:56:00Z"/>
  <w16cex:commentExtensible w16cex:durableId="6F77BFF4" w16cex:dateUtc="2025-12-16T18:06:00Z"/>
  <w16cex:commentExtensible w16cex:durableId="5E3B7473" w16cex:dateUtc="2025-12-16T1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486AA2A" w16cid:durableId="54797B14"/>
  <w16cid:commentId w16cid:paraId="2BBFAD3F" w16cid:durableId="25D6B6A2"/>
  <w16cid:commentId w16cid:paraId="3C8043E2" w16cid:durableId="3F9D49B0"/>
  <w16cid:commentId w16cid:paraId="158D56BA" w16cid:durableId="169CF2B2"/>
  <w16cid:commentId w16cid:paraId="19D6265E" w16cid:durableId="2038DB33"/>
  <w16cid:commentId w16cid:paraId="1E96298D" w16cid:durableId="08F3F511"/>
  <w16cid:commentId w16cid:paraId="148900FA" w16cid:durableId="58B9AF89"/>
  <w16cid:commentId w16cid:paraId="2795543B" w16cid:durableId="2C54DBC2"/>
  <w16cid:commentId w16cid:paraId="033B312B" w16cid:durableId="2F2E4FF3"/>
  <w16cid:commentId w16cid:paraId="383EE7A1" w16cid:durableId="15532523"/>
  <w16cid:commentId w16cid:paraId="2F4BE127" w16cid:durableId="6F77BFF4"/>
  <w16cid:commentId w16cid:paraId="0629D4AE" w16cid:durableId="5E3B74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CC884" w14:textId="77777777" w:rsidR="00E624F1" w:rsidRDefault="00E624F1" w:rsidP="008F6EDB">
      <w:r>
        <w:separator/>
      </w:r>
    </w:p>
  </w:endnote>
  <w:endnote w:type="continuationSeparator" w:id="0">
    <w:p w14:paraId="4E600E1D" w14:textId="77777777" w:rsidR="00E624F1" w:rsidRDefault="00E624F1" w:rsidP="008F6EDB">
      <w:r>
        <w:continuationSeparator/>
      </w:r>
    </w:p>
  </w:endnote>
  <w:endnote w:type="continuationNotice" w:id="1">
    <w:p w14:paraId="643C7466" w14:textId="77777777" w:rsidR="00E624F1" w:rsidRDefault="00E624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0823915"/>
      <w:docPartObj>
        <w:docPartGallery w:val="Page Numbers (Bottom of Page)"/>
        <w:docPartUnique/>
      </w:docPartObj>
    </w:sdtPr>
    <w:sdtEndPr>
      <w:rPr>
        <w:b/>
        <w:color w:val="00758F"/>
        <w:spacing w:val="-2"/>
        <w:sz w:val="14"/>
      </w:rPr>
    </w:sdtEndPr>
    <w:sdtContent>
      <w:p w14:paraId="37FF0FA3" w14:textId="77777777" w:rsidR="00A74EE4" w:rsidRDefault="00A74EE4" w:rsidP="00A74EE4">
        <w:pPr>
          <w:pStyle w:val="Pidipagina"/>
          <w:jc w:val="center"/>
        </w:pPr>
      </w:p>
      <w:p w14:paraId="4F07AAFE" w14:textId="77777777" w:rsidR="00A74EE4" w:rsidRDefault="00A74EE4" w:rsidP="00A74EE4">
        <w:pPr>
          <w:pStyle w:val="Pidipagina"/>
          <w:jc w:val="center"/>
          <w:rPr>
            <w:sz w:val="14"/>
            <w:szCs w:val="14"/>
          </w:rPr>
        </w:pPr>
        <w:r w:rsidRPr="0055543B">
          <w:rPr>
            <w:sz w:val="14"/>
            <w:szCs w:val="14"/>
          </w:rPr>
          <w:fldChar w:fldCharType="begin"/>
        </w:r>
        <w:r w:rsidRPr="0055543B">
          <w:rPr>
            <w:sz w:val="14"/>
            <w:szCs w:val="14"/>
          </w:rPr>
          <w:instrText>PAGE   \* MERGEFORMAT</w:instrText>
        </w:r>
        <w:r w:rsidRPr="0055543B">
          <w:rPr>
            <w:sz w:val="14"/>
            <w:szCs w:val="14"/>
          </w:rPr>
          <w:fldChar w:fldCharType="separate"/>
        </w:r>
        <w:r>
          <w:rPr>
            <w:sz w:val="14"/>
            <w:szCs w:val="14"/>
          </w:rPr>
          <w:t>1</w:t>
        </w:r>
        <w:r w:rsidRPr="0055543B">
          <w:rPr>
            <w:sz w:val="14"/>
            <w:szCs w:val="14"/>
          </w:rPr>
          <w:fldChar w:fldCharType="end"/>
        </w:r>
      </w:p>
      <w:p w14:paraId="7437B6C0" w14:textId="77777777" w:rsidR="00A74EE4" w:rsidRDefault="00A74EE4" w:rsidP="00A74EE4">
        <w:pPr>
          <w:pStyle w:val="Pidipagina"/>
          <w:jc w:val="center"/>
          <w:rPr>
            <w:sz w:val="14"/>
            <w:szCs w:val="14"/>
          </w:rPr>
        </w:pPr>
      </w:p>
      <w:p w14:paraId="186AD3D8" w14:textId="77777777" w:rsidR="00A74EE4" w:rsidRPr="00185650" w:rsidRDefault="00AB0A3F" w:rsidP="001C1B3F">
        <w:pPr>
          <w:pStyle w:val="Pidipagina"/>
          <w:rPr>
            <w:b/>
            <w:color w:val="00758F"/>
            <w:spacing w:val="-2"/>
            <w:sz w:val="1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2930367"/>
      <w:docPartObj>
        <w:docPartGallery w:val="Page Numbers (Bottom of Page)"/>
        <w:docPartUnique/>
      </w:docPartObj>
    </w:sdtPr>
    <w:sdtEndPr>
      <w:rPr>
        <w:sz w:val="14"/>
        <w:szCs w:val="14"/>
      </w:rPr>
    </w:sdtEndPr>
    <w:sdtContent>
      <w:p w14:paraId="66D029DD" w14:textId="77777777" w:rsidR="00190479" w:rsidRDefault="00190479" w:rsidP="00A74EE4">
        <w:pPr>
          <w:pStyle w:val="Pidipagina"/>
          <w:jc w:val="center"/>
        </w:pPr>
      </w:p>
      <w:p w14:paraId="5AE2F1F4" w14:textId="77777777" w:rsidR="00190479" w:rsidRPr="007E4750" w:rsidRDefault="00190479" w:rsidP="007E4750">
        <w:pPr>
          <w:pStyle w:val="Pidipagina"/>
          <w:jc w:val="center"/>
          <w:rPr>
            <w:sz w:val="14"/>
            <w:szCs w:val="14"/>
          </w:rPr>
        </w:pPr>
        <w:r w:rsidRPr="0055543B">
          <w:rPr>
            <w:sz w:val="14"/>
            <w:szCs w:val="14"/>
          </w:rPr>
          <w:fldChar w:fldCharType="begin"/>
        </w:r>
        <w:r w:rsidRPr="0055543B">
          <w:rPr>
            <w:sz w:val="14"/>
            <w:szCs w:val="14"/>
          </w:rPr>
          <w:instrText>PAGE   \* MERGEFORMAT</w:instrText>
        </w:r>
        <w:r w:rsidRPr="0055543B">
          <w:rPr>
            <w:sz w:val="14"/>
            <w:szCs w:val="14"/>
          </w:rPr>
          <w:fldChar w:fldCharType="separate"/>
        </w:r>
        <w:r>
          <w:rPr>
            <w:sz w:val="14"/>
            <w:szCs w:val="14"/>
          </w:rPr>
          <w:t>1</w:t>
        </w:r>
        <w:r w:rsidRPr="0055543B">
          <w:rPr>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80BB2" w14:textId="77777777" w:rsidR="00E624F1" w:rsidRDefault="00E624F1" w:rsidP="008F6EDB">
      <w:r>
        <w:separator/>
      </w:r>
    </w:p>
  </w:footnote>
  <w:footnote w:type="continuationSeparator" w:id="0">
    <w:p w14:paraId="71A6C75E" w14:textId="77777777" w:rsidR="00E624F1" w:rsidRDefault="00E624F1" w:rsidP="008F6EDB">
      <w:r>
        <w:continuationSeparator/>
      </w:r>
    </w:p>
  </w:footnote>
  <w:footnote w:type="continuationNotice" w:id="1">
    <w:p w14:paraId="4C8BC89D" w14:textId="77777777" w:rsidR="00E624F1" w:rsidRDefault="00E624F1"/>
  </w:footnote>
  <w:footnote w:id="2">
    <w:p w14:paraId="7E96F067" w14:textId="331702B9" w:rsidR="00021888" w:rsidRPr="00F631A2" w:rsidRDefault="00021888" w:rsidP="00021888">
      <w:pPr>
        <w:pStyle w:val="Testonotaapidipagina"/>
        <w:jc w:val="both"/>
        <w:rPr>
          <w:rFonts w:ascii="Times New Roman" w:hAnsi="Times New Roman" w:cs="Times New Roman"/>
          <w:lang w:val="en-US"/>
        </w:rPr>
      </w:pPr>
      <w:r w:rsidRPr="00021888">
        <w:rPr>
          <w:rStyle w:val="Rimandonotaapidipagina"/>
          <w:rFonts w:ascii="Times New Roman" w:hAnsi="Times New Roman" w:cs="Times New Roman"/>
        </w:rPr>
        <w:footnoteRef/>
      </w:r>
      <w:r w:rsidRPr="00D253C3">
        <w:rPr>
          <w:rFonts w:ascii="Times New Roman" w:hAnsi="Times New Roman" w:cs="Times New Roman"/>
          <w:lang w:val="en-US"/>
        </w:rPr>
        <w:t xml:space="preserve"> </w:t>
      </w:r>
      <w:r w:rsidRPr="00021888">
        <w:rPr>
          <w:rFonts w:ascii="Times New Roman" w:hAnsi="Times New Roman" w:cs="Times New Roman"/>
          <w:lang w:val="en-US"/>
        </w:rPr>
        <w:t>Regulation (EC) No 714/2009 of the European Parliament and of the Council of 13 July 2009 on conditions for access to the network for cross-border exchanges in electricity and repealing Regulation (EC) No 1228/2003</w:t>
      </w:r>
      <w:r w:rsidR="00D253C3">
        <w:rPr>
          <w:rFonts w:ascii="Times New Roman" w:hAnsi="Times New Roman" w:cs="Times New Roman"/>
          <w:lang w:val="en-US"/>
        </w:rPr>
        <w:t xml:space="preserve">, </w:t>
      </w:r>
      <w:r w:rsidR="00D253C3" w:rsidRPr="00D253C3">
        <w:rPr>
          <w:rFonts w:ascii="Times New Roman" w:hAnsi="Times New Roman" w:cs="Times New Roman"/>
          <w:lang w:val="en-US"/>
        </w:rPr>
        <w:t>Article 18(5)</w:t>
      </w:r>
      <w:r w:rsidR="00D253C3">
        <w:rPr>
          <w:rFonts w:ascii="Times New Roman" w:hAnsi="Times New Roman" w:cs="Times New Roman"/>
          <w:lang w:val="en-US"/>
        </w:rPr>
        <w:t>.</w:t>
      </w:r>
      <w:r w:rsidR="00F631A2">
        <w:rPr>
          <w:rFonts w:ascii="Times New Roman" w:hAnsi="Times New Roman" w:cs="Times New Roman"/>
          <w:lang w:val="en-US"/>
        </w:rPr>
        <w:t xml:space="preserve"> The full text of the Regulation is available at the following </w:t>
      </w:r>
      <w:hyperlink r:id="rId1" w:history="1">
        <w:r w:rsidR="00F631A2" w:rsidRPr="00F631A2">
          <w:rPr>
            <w:rStyle w:val="Collegamentoipertestuale"/>
            <w:rFonts w:ascii="Times New Roman" w:hAnsi="Times New Roman" w:cs="Times New Roman"/>
            <w:lang w:val="en-US"/>
          </w:rPr>
          <w:t>link</w:t>
        </w:r>
      </w:hyperlink>
      <w:r w:rsidR="00F631A2">
        <w:rPr>
          <w:rFonts w:ascii="Times New Roman" w:hAnsi="Times New Roman" w:cs="Times New Roman"/>
          <w:lang w:val="en-US"/>
        </w:rPr>
        <w:t>.</w:t>
      </w:r>
      <w:r w:rsidR="00D253C3">
        <w:rPr>
          <w:rFonts w:ascii="Times New Roman" w:hAnsi="Times New Roman" w:cs="Times New Roman"/>
          <w:lang w:val="en-US"/>
        </w:rPr>
        <w:t xml:space="preserve"> </w:t>
      </w:r>
      <w:r w:rsidRPr="00021888">
        <w:rPr>
          <w:rFonts w:ascii="Times New Roman" w:hAnsi="Times New Roman" w:cs="Times New Roman"/>
          <w:lang w:val="en-US"/>
        </w:rPr>
        <w:t>The referenced Regulation has been repealed by Regulation (EU) 2019/943 of the European Parliament and of the Council of 5 June 2019 on the internal market for electricity</w:t>
      </w:r>
      <w:r>
        <w:rPr>
          <w:rFonts w:ascii="Times New Roman" w:hAnsi="Times New Roman" w:cs="Times New Roman"/>
          <w:lang w:val="en-US"/>
        </w:rPr>
        <w:t xml:space="preserve">. The full text of the latter Regulation is available at the following </w:t>
      </w:r>
      <w:hyperlink r:id="rId2" w:history="1">
        <w:r w:rsidRPr="00021888">
          <w:rPr>
            <w:rStyle w:val="Collegamentoipertestuale"/>
            <w:rFonts w:ascii="Times New Roman" w:hAnsi="Times New Roman" w:cs="Times New Roman"/>
            <w:lang w:val="en-US"/>
          </w:rPr>
          <w:t>link</w:t>
        </w:r>
      </w:hyperlink>
      <w:r>
        <w:rPr>
          <w:rFonts w:ascii="Times New Roman" w:hAnsi="Times New Roman" w:cs="Times New Roman"/>
          <w:lang w:val="en-US"/>
        </w:rPr>
        <w:t>.</w:t>
      </w:r>
    </w:p>
  </w:footnote>
  <w:footnote w:id="3">
    <w:p w14:paraId="1DE52523" w14:textId="15C03237" w:rsidR="00021888" w:rsidRPr="00F631A2" w:rsidRDefault="00021888" w:rsidP="00F631A2">
      <w:pPr>
        <w:pStyle w:val="Testonotaapidipagina"/>
        <w:jc w:val="both"/>
        <w:rPr>
          <w:rFonts w:ascii="Times New Roman" w:hAnsi="Times New Roman" w:cs="Times New Roman"/>
          <w:lang w:val="en-US"/>
        </w:rPr>
      </w:pPr>
      <w:r w:rsidRPr="00F631A2">
        <w:rPr>
          <w:rStyle w:val="Rimandonotaapidipagina"/>
          <w:rFonts w:ascii="Times New Roman" w:hAnsi="Times New Roman" w:cs="Times New Roman"/>
        </w:rPr>
        <w:footnoteRef/>
      </w:r>
      <w:r w:rsidRPr="00F631A2">
        <w:rPr>
          <w:rFonts w:ascii="Times New Roman" w:hAnsi="Times New Roman" w:cs="Times New Roman"/>
          <w:lang w:val="en-US"/>
        </w:rPr>
        <w:t xml:space="preserve"> Commission Regulation (EU) 2015/1222 of 24 July 2015 establishing a guideline on capacity allocation and congestion management</w:t>
      </w:r>
      <w:r w:rsidR="00902C6D" w:rsidRPr="00F631A2">
        <w:rPr>
          <w:rFonts w:ascii="Times New Roman" w:hAnsi="Times New Roman" w:cs="Times New Roman"/>
          <w:lang w:val="en-US"/>
        </w:rPr>
        <w:t xml:space="preserve">. </w:t>
      </w:r>
      <w:r w:rsidR="00902C6D" w:rsidRPr="00902C6D">
        <w:rPr>
          <w:rFonts w:ascii="Times New Roman" w:hAnsi="Times New Roman" w:cs="Times New Roman"/>
          <w:lang w:val="en-US"/>
        </w:rPr>
        <w:t xml:space="preserve">The full text of the latter Regulation is available at the following </w:t>
      </w:r>
      <w:hyperlink r:id="rId3" w:history="1">
        <w:r w:rsidR="00902C6D" w:rsidRPr="00902C6D">
          <w:rPr>
            <w:rStyle w:val="Collegamentoipertestuale"/>
            <w:rFonts w:ascii="Times New Roman" w:hAnsi="Times New Roman" w:cs="Times New Roman"/>
            <w:lang w:val="en-US"/>
          </w:rPr>
          <w:t>link</w:t>
        </w:r>
      </w:hyperlink>
      <w:r w:rsidR="00902C6D" w:rsidRPr="00902C6D">
        <w:rPr>
          <w:rFonts w:ascii="Times New Roman" w:hAnsi="Times New Roman" w:cs="Times New Roman"/>
          <w:lang w:val="en-US"/>
        </w:rPr>
        <w:t>.</w:t>
      </w:r>
    </w:p>
  </w:footnote>
  <w:footnote w:id="4">
    <w:p w14:paraId="265DDE0D" w14:textId="2B9054E8" w:rsidR="004455F8" w:rsidRPr="00F631A2" w:rsidRDefault="004455F8" w:rsidP="00F631A2">
      <w:pPr>
        <w:pStyle w:val="Testonotaapidipagina"/>
        <w:jc w:val="both"/>
        <w:rPr>
          <w:lang w:val="en-US"/>
        </w:rPr>
      </w:pPr>
      <w:r>
        <w:rPr>
          <w:rStyle w:val="Rimandonotaapidipagina"/>
        </w:rPr>
        <w:footnoteRef/>
      </w:r>
      <w:r w:rsidRPr="00F631A2">
        <w:rPr>
          <w:lang w:val="en-US"/>
        </w:rPr>
        <w:t xml:space="preserve"> </w:t>
      </w:r>
      <w:r w:rsidR="003924DE" w:rsidRPr="003924DE">
        <w:rPr>
          <w:rFonts w:ascii="Times New Roman" w:hAnsi="Times New Roman" w:cs="Times New Roman"/>
          <w:lang w:val="en-US"/>
        </w:rPr>
        <w:t>Cross-zonal capacity allocation refers to the process of determining and assigning the available transmission capacity between different bidding zones (countries or market areas) in the electricity market.</w:t>
      </w:r>
      <w:r w:rsidR="005E52C0">
        <w:rPr>
          <w:rFonts w:ascii="Times New Roman" w:hAnsi="Times New Roman" w:cs="Times New Roman"/>
          <w:lang w:val="en-US"/>
        </w:rPr>
        <w:t xml:space="preserve"> </w:t>
      </w:r>
      <w:r w:rsidR="003924DE" w:rsidRPr="003924DE">
        <w:rPr>
          <w:rFonts w:ascii="Times New Roman" w:hAnsi="Times New Roman" w:cs="Times New Roman"/>
          <w:lang w:val="en-US"/>
        </w:rPr>
        <w:t xml:space="preserve">It ensures that electricity can flow efficiently and securely across borders </w:t>
      </w:r>
      <w:r w:rsidR="005E52C0">
        <w:rPr>
          <w:rFonts w:ascii="Times New Roman" w:hAnsi="Times New Roman" w:cs="Times New Roman"/>
          <w:lang w:val="en-US"/>
        </w:rPr>
        <w:t>–</w:t>
      </w:r>
      <w:r w:rsidR="003924DE" w:rsidRPr="003924DE">
        <w:rPr>
          <w:rFonts w:ascii="Times New Roman" w:hAnsi="Times New Roman" w:cs="Times New Roman"/>
          <w:lang w:val="en-US"/>
        </w:rPr>
        <w:t xml:space="preserve"> for example, from a zone with surplus generation to a zone with higher demand </w:t>
      </w:r>
      <w:r w:rsidR="005E52C0">
        <w:rPr>
          <w:rFonts w:ascii="Times New Roman" w:hAnsi="Times New Roman" w:cs="Times New Roman"/>
          <w:lang w:val="en-US"/>
        </w:rPr>
        <w:t xml:space="preserve">– </w:t>
      </w:r>
      <w:r w:rsidR="003924DE" w:rsidRPr="003924DE">
        <w:rPr>
          <w:rFonts w:ascii="Times New Roman" w:hAnsi="Times New Roman" w:cs="Times New Roman"/>
          <w:lang w:val="en-US"/>
        </w:rPr>
        <w:t>while preventing network congestion and maintaining system reliability.</w:t>
      </w:r>
    </w:p>
  </w:footnote>
  <w:footnote w:id="5">
    <w:p w14:paraId="5DCF278C" w14:textId="62396CDD" w:rsidR="004455F8" w:rsidRPr="00F631A2" w:rsidRDefault="004455F8" w:rsidP="00F631A2">
      <w:pPr>
        <w:pStyle w:val="Testonotaapidipagina"/>
        <w:jc w:val="both"/>
        <w:rPr>
          <w:lang w:val="en-US"/>
        </w:rPr>
      </w:pPr>
      <w:r w:rsidRPr="00F8605F">
        <w:rPr>
          <w:rStyle w:val="Rimandonotaapidipagina"/>
        </w:rPr>
        <w:footnoteRef/>
      </w:r>
      <w:r w:rsidRPr="00F631A2">
        <w:rPr>
          <w:rFonts w:ascii="Times New Roman" w:hAnsi="Times New Roman" w:cs="Times New Roman"/>
          <w:lang w:val="en-US"/>
        </w:rPr>
        <w:t xml:space="preserve"> </w:t>
      </w:r>
      <w:r w:rsidR="00C86E5D" w:rsidRPr="00C86E5D">
        <w:rPr>
          <w:rFonts w:ascii="Times New Roman" w:hAnsi="Times New Roman" w:cs="Times New Roman"/>
          <w:lang w:val="en-US"/>
        </w:rPr>
        <w:t>Congestion management refers to the set of rules, procedures, and actions used to prevent or relieve network congestion in electricity transmission systems.</w:t>
      </w:r>
      <w:r w:rsidR="00C86E5D">
        <w:rPr>
          <w:rFonts w:ascii="Times New Roman" w:hAnsi="Times New Roman" w:cs="Times New Roman"/>
          <w:lang w:val="en-US"/>
        </w:rPr>
        <w:t xml:space="preserve"> </w:t>
      </w:r>
      <w:r w:rsidR="00C86E5D" w:rsidRPr="00C86E5D">
        <w:rPr>
          <w:rFonts w:ascii="Times New Roman" w:hAnsi="Times New Roman" w:cs="Times New Roman"/>
          <w:lang w:val="en-US"/>
        </w:rPr>
        <w:t>Congestion occurs when the physical limits of the transmission network prevent all desired electricity exchanges between market participants from being realized simultaneously.</w:t>
      </w:r>
      <w:r w:rsidR="00C86E5D">
        <w:rPr>
          <w:rFonts w:ascii="Times New Roman" w:hAnsi="Times New Roman" w:cs="Times New Roman"/>
          <w:lang w:val="en-US"/>
        </w:rPr>
        <w:t xml:space="preserve"> </w:t>
      </w:r>
      <w:r w:rsidR="00C86E5D" w:rsidRPr="00C86E5D">
        <w:rPr>
          <w:rFonts w:ascii="Times New Roman" w:hAnsi="Times New Roman" w:cs="Times New Roman"/>
          <w:lang w:val="en-US"/>
        </w:rPr>
        <w:t>The goal of congestion management is to ensure efficient use of the transmission network, maintain system security, and facilitate fair and non-discriminatory access to cross-border capacity.</w:t>
      </w:r>
    </w:p>
  </w:footnote>
  <w:footnote w:id="6">
    <w:p w14:paraId="01827A06" w14:textId="5B9FDFAD" w:rsidR="004455F8" w:rsidRPr="00F631A2" w:rsidRDefault="004455F8" w:rsidP="00F631A2">
      <w:pPr>
        <w:pStyle w:val="Testonotaapidipagina"/>
        <w:jc w:val="both"/>
        <w:rPr>
          <w:rFonts w:ascii="Times New Roman" w:hAnsi="Times New Roman" w:cs="Times New Roman"/>
          <w:lang w:val="en-US"/>
        </w:rPr>
      </w:pPr>
      <w:r w:rsidRPr="00270948">
        <w:rPr>
          <w:rStyle w:val="Rimandonotaapidipagina"/>
        </w:rPr>
        <w:footnoteRef/>
      </w:r>
      <w:r w:rsidRPr="00F631A2">
        <w:rPr>
          <w:lang w:val="en-US"/>
        </w:rPr>
        <w:t xml:space="preserve"> </w:t>
      </w:r>
      <w:r w:rsidR="00270948">
        <w:rPr>
          <w:lang w:val="en-US"/>
        </w:rPr>
        <w:t>D</w:t>
      </w:r>
      <w:r w:rsidR="00270948" w:rsidRPr="00F631A2">
        <w:rPr>
          <w:rFonts w:ascii="Times New Roman" w:hAnsi="Times New Roman" w:cs="Times New Roman"/>
          <w:lang w:val="en-US"/>
        </w:rPr>
        <w:t>ay-ahead market time-frame’ means the time-frame of the electricity market until the day-ahead market gate closure time, where, for each market time unit, products are traded the day prior to delivery</w:t>
      </w:r>
      <w:r w:rsidR="00D77D6E">
        <w:rPr>
          <w:rFonts w:ascii="Times New Roman" w:hAnsi="Times New Roman" w:cs="Times New Roman"/>
          <w:lang w:val="en-US"/>
        </w:rPr>
        <w:t>. See for reference Article 2</w:t>
      </w:r>
      <w:r w:rsidR="00E17478">
        <w:rPr>
          <w:rFonts w:ascii="Times New Roman" w:hAnsi="Times New Roman" w:cs="Times New Roman"/>
          <w:lang w:val="en-US"/>
        </w:rPr>
        <w:t>(34) of</w:t>
      </w:r>
      <w:r w:rsidR="005C63BE">
        <w:rPr>
          <w:rFonts w:ascii="Times New Roman" w:hAnsi="Times New Roman" w:cs="Times New Roman"/>
          <w:lang w:val="en-US"/>
        </w:rPr>
        <w:t xml:space="preserve"> </w:t>
      </w:r>
      <w:r w:rsidR="005E1FEE" w:rsidRPr="00F631A2">
        <w:rPr>
          <w:rFonts w:ascii="Times New Roman" w:hAnsi="Times New Roman" w:cs="Times New Roman"/>
          <w:lang w:val="en-US"/>
        </w:rPr>
        <w:t>Regulation (EU) 2015/1222</w:t>
      </w:r>
      <w:r w:rsidR="00454879">
        <w:rPr>
          <w:rFonts w:ascii="Times New Roman" w:hAnsi="Times New Roman" w:cs="Times New Roman"/>
          <w:lang w:val="en-US"/>
        </w:rPr>
        <w:t>.</w:t>
      </w:r>
    </w:p>
  </w:footnote>
  <w:footnote w:id="7">
    <w:p w14:paraId="722200D6" w14:textId="7459FDBD" w:rsidR="004455F8" w:rsidRPr="00F631A2" w:rsidRDefault="004455F8" w:rsidP="00F631A2">
      <w:pPr>
        <w:pStyle w:val="Testonotaapidipagina"/>
        <w:jc w:val="both"/>
        <w:rPr>
          <w:b/>
          <w:bCs/>
          <w:lang w:val="en-US"/>
        </w:rPr>
      </w:pPr>
      <w:r w:rsidRPr="000158E3">
        <w:rPr>
          <w:rStyle w:val="Rimandonotaapidipagina"/>
        </w:rPr>
        <w:footnoteRef/>
      </w:r>
      <w:r w:rsidRPr="005C63BE">
        <w:rPr>
          <w:rStyle w:val="Rimandonotaapidipagina"/>
          <w:lang w:val="en-US"/>
        </w:rPr>
        <w:t xml:space="preserve"> </w:t>
      </w:r>
      <w:r w:rsidR="00454879">
        <w:rPr>
          <w:rFonts w:ascii="Times New Roman" w:hAnsi="Times New Roman" w:cs="Times New Roman"/>
          <w:lang w:val="en-US"/>
        </w:rPr>
        <w:t>I</w:t>
      </w:r>
      <w:r w:rsidR="00454879" w:rsidRPr="00F631A2">
        <w:rPr>
          <w:rFonts w:ascii="Times New Roman" w:hAnsi="Times New Roman" w:cs="Times New Roman"/>
          <w:lang w:val="en-US"/>
        </w:rPr>
        <w:t>ntraday market time-frame’ means the time-frame of the electricity market after intraday cross-zonal gate opening time and before intraday cross-zonal gate closure time, where for each market time unit, products are traded prior to the delivery of the traded products</w:t>
      </w:r>
      <w:r w:rsidR="00D77D6E">
        <w:rPr>
          <w:rFonts w:ascii="Times New Roman" w:hAnsi="Times New Roman" w:cs="Times New Roman"/>
          <w:lang w:val="en-US"/>
        </w:rPr>
        <w:t>. S</w:t>
      </w:r>
      <w:r w:rsidR="00610DE2">
        <w:rPr>
          <w:rFonts w:ascii="Times New Roman" w:hAnsi="Times New Roman" w:cs="Times New Roman"/>
          <w:lang w:val="en-US"/>
        </w:rPr>
        <w:t>ee for reference A</w:t>
      </w:r>
      <w:r w:rsidR="00D77D6E">
        <w:rPr>
          <w:rFonts w:ascii="Times New Roman" w:hAnsi="Times New Roman" w:cs="Times New Roman"/>
          <w:lang w:val="en-US"/>
        </w:rPr>
        <w:t xml:space="preserve">rticle 2(37) of </w:t>
      </w:r>
      <w:r w:rsidR="00E7355A" w:rsidRPr="00F631A2">
        <w:rPr>
          <w:rFonts w:ascii="Times New Roman" w:hAnsi="Times New Roman" w:cs="Times New Roman"/>
          <w:lang w:val="en-US"/>
        </w:rPr>
        <w:t>Regulation (EU) 2015/1222</w:t>
      </w:r>
      <w:r w:rsidR="00D77D6E">
        <w:rPr>
          <w:rFonts w:ascii="Times New Roman" w:hAnsi="Times New Roman" w:cs="Times New Roman"/>
          <w:lang w:val="en-US"/>
        </w:rPr>
        <w:t>.</w:t>
      </w:r>
    </w:p>
  </w:footnote>
  <w:footnote w:id="8">
    <w:p w14:paraId="21779488" w14:textId="454231E8" w:rsidR="006A0438" w:rsidRPr="00E856B7" w:rsidRDefault="006A0438" w:rsidP="00F631A2">
      <w:pPr>
        <w:pStyle w:val="Testonotaapidipagina"/>
        <w:jc w:val="both"/>
        <w:rPr>
          <w:rFonts w:ascii="Times New Roman" w:hAnsi="Times New Roman" w:cs="Times New Roman"/>
          <w:lang w:val="en-US"/>
        </w:rPr>
      </w:pPr>
      <w:r>
        <w:rPr>
          <w:rStyle w:val="Rimandonotaapidipagina"/>
        </w:rPr>
        <w:footnoteRef/>
      </w:r>
      <w:r w:rsidRPr="006A0438">
        <w:rPr>
          <w:lang w:val="en-US"/>
        </w:rPr>
        <w:t xml:space="preserve"> </w:t>
      </w:r>
      <w:r w:rsidR="002A4928" w:rsidRPr="002A4928">
        <w:rPr>
          <w:rFonts w:ascii="Times New Roman" w:hAnsi="Times New Roman" w:cs="Times New Roman"/>
          <w:lang w:val="en-US"/>
        </w:rPr>
        <w:t>See for reference</w:t>
      </w:r>
      <w:r w:rsidR="002A4928">
        <w:rPr>
          <w:lang w:val="en-US"/>
        </w:rPr>
        <w:t xml:space="preserve"> </w:t>
      </w:r>
      <w:r w:rsidR="002A4928" w:rsidRPr="002A4928">
        <w:rPr>
          <w:rFonts w:ascii="Times New Roman" w:hAnsi="Times New Roman" w:cs="Times New Roman"/>
          <w:lang w:val="en-US"/>
        </w:rPr>
        <w:t>Article 2</w:t>
      </w:r>
      <w:r w:rsidR="005C40F1">
        <w:rPr>
          <w:rFonts w:ascii="Times New Roman" w:hAnsi="Times New Roman" w:cs="Times New Roman"/>
          <w:lang w:val="en-US"/>
        </w:rPr>
        <w:t>(9)</w:t>
      </w:r>
      <w:r w:rsidR="002A4928" w:rsidRPr="002A4928">
        <w:rPr>
          <w:rFonts w:ascii="Times New Roman" w:hAnsi="Times New Roman" w:cs="Times New Roman"/>
          <w:lang w:val="en-US"/>
        </w:rPr>
        <w:t xml:space="preserve"> of Regulation </w:t>
      </w:r>
      <w:r w:rsidR="00E17478">
        <w:rPr>
          <w:rFonts w:ascii="Times New Roman" w:hAnsi="Times New Roman" w:cs="Times New Roman"/>
          <w:lang w:val="en-US"/>
        </w:rPr>
        <w:t xml:space="preserve">(EU) </w:t>
      </w:r>
      <w:r w:rsidR="002A4928" w:rsidRPr="002A4928">
        <w:rPr>
          <w:rFonts w:ascii="Times New Roman" w:hAnsi="Times New Roman" w:cs="Times New Roman"/>
          <w:lang w:val="en-US"/>
        </w:rPr>
        <w:t>2015/1222</w:t>
      </w:r>
      <w:r w:rsidR="00E856B7">
        <w:rPr>
          <w:rFonts w:ascii="Times New Roman" w:hAnsi="Times New Roman" w:cs="Times New Roman"/>
          <w:lang w:val="en-US"/>
        </w:rPr>
        <w:t>.</w:t>
      </w:r>
    </w:p>
  </w:footnote>
  <w:footnote w:id="9">
    <w:p w14:paraId="278E24EF" w14:textId="321BC39F" w:rsidR="00B30931" w:rsidRPr="00D80A16" w:rsidRDefault="00B30931">
      <w:pPr>
        <w:pStyle w:val="Testonotaapidipagina"/>
        <w:rPr>
          <w:lang w:val="en-US"/>
        </w:rPr>
      </w:pPr>
      <w:r>
        <w:rPr>
          <w:rStyle w:val="Rimandonotaapidipagina"/>
        </w:rPr>
        <w:footnoteRef/>
      </w:r>
      <w:r w:rsidRPr="00D80A16">
        <w:rPr>
          <w:lang w:val="en-US"/>
        </w:rPr>
        <w:t xml:space="preserve"> </w:t>
      </w:r>
      <w:r w:rsidRPr="00D80A16">
        <w:rPr>
          <w:rFonts w:ascii="Times New Roman" w:hAnsi="Times New Roman" w:cs="Times New Roman"/>
          <w:lang w:val="en-US"/>
        </w:rPr>
        <w:t xml:space="preserve">Judgement </w:t>
      </w:r>
      <w:r w:rsidR="00D80A16" w:rsidRPr="00D80A16">
        <w:rPr>
          <w:rFonts w:ascii="Times New Roman" w:hAnsi="Times New Roman" w:cs="Times New Roman"/>
          <w:lang w:val="en-US"/>
        </w:rPr>
        <w:t>T-600/23 and T-612/23, par. 13.</w:t>
      </w:r>
      <w:r w:rsidR="00D80A16">
        <w:rPr>
          <w:lang w:val="en-US"/>
        </w:rPr>
        <w:t xml:space="preserve"> </w:t>
      </w:r>
    </w:p>
  </w:footnote>
  <w:footnote w:id="10">
    <w:p w14:paraId="2828264A" w14:textId="148606DB" w:rsidR="003B4E15" w:rsidRPr="003B4E15" w:rsidRDefault="003B4E15">
      <w:pPr>
        <w:pStyle w:val="Testonotaapidipagina"/>
        <w:rPr>
          <w:lang w:val="en-US"/>
        </w:rPr>
      </w:pPr>
      <w:r>
        <w:rPr>
          <w:rStyle w:val="Rimandonotaapidipagina"/>
        </w:rPr>
        <w:footnoteRef/>
      </w:r>
      <w:r w:rsidRPr="003B4E15">
        <w:rPr>
          <w:lang w:val="en-US"/>
        </w:rPr>
        <w:t xml:space="preserve"> </w:t>
      </w:r>
      <w:r w:rsidRPr="00D80A16">
        <w:rPr>
          <w:rFonts w:ascii="Times New Roman" w:hAnsi="Times New Roman" w:cs="Times New Roman"/>
          <w:lang w:val="en-US"/>
        </w:rPr>
        <w:t xml:space="preserve">Judgement T-600/23 and T-612/23, par. </w:t>
      </w:r>
      <w:r w:rsidR="00A6349D">
        <w:rPr>
          <w:rFonts w:ascii="Times New Roman" w:hAnsi="Times New Roman" w:cs="Times New Roman"/>
          <w:lang w:val="en-US"/>
        </w:rPr>
        <w:t>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435FC" w14:textId="77777777" w:rsidR="008507D1" w:rsidRDefault="008507D1">
    <w:pPr>
      <w:pStyle w:val="Intestazione"/>
    </w:pPr>
    <w:r>
      <w:rPr>
        <w:rFonts w:ascii="Times New Roman"/>
        <w:b/>
        <w:bCs/>
        <w:noProof/>
        <w:sz w:val="20"/>
      </w:rPr>
      <w:drawing>
        <wp:anchor distT="0" distB="0" distL="114300" distR="114300" simplePos="0" relativeHeight="251658241" behindDoc="0" locked="0" layoutInCell="1" allowOverlap="1" wp14:anchorId="2692D39F" wp14:editId="69CD4B4F">
          <wp:simplePos x="0" y="0"/>
          <wp:positionH relativeFrom="margin">
            <wp:align>left</wp:align>
          </wp:positionH>
          <wp:positionV relativeFrom="paragraph">
            <wp:posOffset>-635</wp:posOffset>
          </wp:positionV>
          <wp:extent cx="561496" cy="637299"/>
          <wp:effectExtent l="0" t="0" r="6985" b="0"/>
          <wp:wrapNone/>
          <wp:docPr id="36575529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93104" name="Immagin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496" cy="63729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5BCF6" w14:textId="77777777" w:rsidR="00014132" w:rsidRDefault="00014132">
    <w:pPr>
      <w:pStyle w:val="Intestazione"/>
    </w:pPr>
    <w:r>
      <w:rPr>
        <w:noProof/>
      </w:rPr>
      <w:drawing>
        <wp:anchor distT="0" distB="0" distL="114300" distR="114300" simplePos="0" relativeHeight="251664385" behindDoc="0" locked="0" layoutInCell="1" allowOverlap="1" wp14:anchorId="03CF0529" wp14:editId="38059D75">
          <wp:simplePos x="0" y="0"/>
          <wp:positionH relativeFrom="page">
            <wp:posOffset>-8890</wp:posOffset>
          </wp:positionH>
          <wp:positionV relativeFrom="page">
            <wp:posOffset>-104936</wp:posOffset>
          </wp:positionV>
          <wp:extent cx="7624308" cy="10784707"/>
          <wp:effectExtent l="0" t="0" r="0" b="0"/>
          <wp:wrapNone/>
          <wp:docPr id="60815678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92173" name="Immagin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4308" cy="1078470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AB491" w14:textId="77777777" w:rsidR="00190479" w:rsidRDefault="007E4750">
    <w:pPr>
      <w:pStyle w:val="Intestazione"/>
    </w:pPr>
    <w:r>
      <w:rPr>
        <w:rFonts w:ascii="Times New Roman"/>
        <w:b/>
        <w:bCs/>
        <w:noProof/>
        <w:sz w:val="20"/>
      </w:rPr>
      <w:drawing>
        <wp:anchor distT="0" distB="0" distL="114300" distR="114300" simplePos="0" relativeHeight="251662337" behindDoc="0" locked="0" layoutInCell="1" allowOverlap="1" wp14:anchorId="4A7667BF" wp14:editId="3B76E6D9">
          <wp:simplePos x="0" y="0"/>
          <wp:positionH relativeFrom="margin">
            <wp:align>right</wp:align>
          </wp:positionH>
          <wp:positionV relativeFrom="paragraph">
            <wp:posOffset>-139964</wp:posOffset>
          </wp:positionV>
          <wp:extent cx="561496" cy="637299"/>
          <wp:effectExtent l="0" t="0" r="0" b="0"/>
          <wp:wrapNone/>
          <wp:docPr id="21955698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76505" name="Immagin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1496" cy="63729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C89B" w14:textId="77777777" w:rsidR="005F6199" w:rsidRDefault="005F6199">
    <w:pPr>
      <w:pStyle w:val="Intestazione"/>
    </w:pPr>
    <w:r>
      <w:rPr>
        <w:noProof/>
      </w:rPr>
      <w:drawing>
        <wp:anchor distT="0" distB="0" distL="114300" distR="114300" simplePos="0" relativeHeight="251665409" behindDoc="0" locked="0" layoutInCell="1" allowOverlap="1" wp14:anchorId="5B82F237" wp14:editId="49930A96">
          <wp:simplePos x="0" y="0"/>
          <wp:positionH relativeFrom="column">
            <wp:posOffset>-616907</wp:posOffset>
          </wp:positionH>
          <wp:positionV relativeFrom="paragraph">
            <wp:posOffset>-464185</wp:posOffset>
          </wp:positionV>
          <wp:extent cx="7584056" cy="10727140"/>
          <wp:effectExtent l="0" t="0" r="0" b="0"/>
          <wp:wrapNone/>
          <wp:docPr id="862464528" name="Immagine 3" descr="Immagine che contiene testo, mapp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64528" name="Immagine 3" descr="Immagine che contiene testo, mappa, Carattere&#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7592267" cy="107387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43167"/>
    <w:multiLevelType w:val="hybridMultilevel"/>
    <w:tmpl w:val="35624C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8EE33D6"/>
    <w:multiLevelType w:val="hybridMultilevel"/>
    <w:tmpl w:val="0F660A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0B4584C"/>
    <w:multiLevelType w:val="hybridMultilevel"/>
    <w:tmpl w:val="401838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3602D0"/>
    <w:multiLevelType w:val="hybridMultilevel"/>
    <w:tmpl w:val="3AA2AA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DFB7A10"/>
    <w:multiLevelType w:val="multilevel"/>
    <w:tmpl w:val="1DD24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8289390">
    <w:abstractNumId w:val="2"/>
  </w:num>
  <w:num w:numId="2" w16cid:durableId="713819711">
    <w:abstractNumId w:val="4"/>
  </w:num>
  <w:num w:numId="3" w16cid:durableId="52966082">
    <w:abstractNumId w:val="1"/>
  </w:num>
  <w:num w:numId="4" w16cid:durableId="1847406175">
    <w:abstractNumId w:val="3"/>
  </w:num>
  <w:num w:numId="5" w16cid:durableId="185429794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vaste, Giulia">
    <w15:presenceInfo w15:providerId="AD" w15:userId="S::glovaste@grimaldialliance.com::94cc7f2e-ed84-4d7c-932d-23107e88b587"/>
  </w15:person>
  <w15:person w15:author="GA-Alliance">
    <w15:presenceInfo w15:providerId="None" w15:userId="GA-Alli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D90"/>
    <w:rsid w:val="00004EC9"/>
    <w:rsid w:val="00014132"/>
    <w:rsid w:val="000158E3"/>
    <w:rsid w:val="00016544"/>
    <w:rsid w:val="00017C53"/>
    <w:rsid w:val="00020A51"/>
    <w:rsid w:val="00021888"/>
    <w:rsid w:val="000233EA"/>
    <w:rsid w:val="0002484B"/>
    <w:rsid w:val="000249B0"/>
    <w:rsid w:val="00025208"/>
    <w:rsid w:val="00025284"/>
    <w:rsid w:val="00030340"/>
    <w:rsid w:val="0003154F"/>
    <w:rsid w:val="00031DE6"/>
    <w:rsid w:val="00031EAE"/>
    <w:rsid w:val="00032E6A"/>
    <w:rsid w:val="0003564F"/>
    <w:rsid w:val="000429FD"/>
    <w:rsid w:val="000561A0"/>
    <w:rsid w:val="00065F0F"/>
    <w:rsid w:val="00067022"/>
    <w:rsid w:val="000671CE"/>
    <w:rsid w:val="00067310"/>
    <w:rsid w:val="00067FCD"/>
    <w:rsid w:val="0007082A"/>
    <w:rsid w:val="000754E1"/>
    <w:rsid w:val="00075D8F"/>
    <w:rsid w:val="00076949"/>
    <w:rsid w:val="00076D0D"/>
    <w:rsid w:val="000776C8"/>
    <w:rsid w:val="00081B54"/>
    <w:rsid w:val="000876AA"/>
    <w:rsid w:val="0009074D"/>
    <w:rsid w:val="00092517"/>
    <w:rsid w:val="00094E49"/>
    <w:rsid w:val="00096122"/>
    <w:rsid w:val="000964D4"/>
    <w:rsid w:val="000A09CF"/>
    <w:rsid w:val="000A3F0A"/>
    <w:rsid w:val="000A4420"/>
    <w:rsid w:val="000A5A82"/>
    <w:rsid w:val="000A6430"/>
    <w:rsid w:val="000A6502"/>
    <w:rsid w:val="000A7801"/>
    <w:rsid w:val="000B2434"/>
    <w:rsid w:val="000B522E"/>
    <w:rsid w:val="000B5A80"/>
    <w:rsid w:val="000B7105"/>
    <w:rsid w:val="000C6026"/>
    <w:rsid w:val="000C6BA9"/>
    <w:rsid w:val="000C7423"/>
    <w:rsid w:val="000D34C7"/>
    <w:rsid w:val="000E065D"/>
    <w:rsid w:val="000E2424"/>
    <w:rsid w:val="000E6541"/>
    <w:rsid w:val="000F093D"/>
    <w:rsid w:val="000F21A8"/>
    <w:rsid w:val="000F51F7"/>
    <w:rsid w:val="000F5F7F"/>
    <w:rsid w:val="0010140F"/>
    <w:rsid w:val="001033CA"/>
    <w:rsid w:val="0011461A"/>
    <w:rsid w:val="00115F52"/>
    <w:rsid w:val="0011651A"/>
    <w:rsid w:val="001174F2"/>
    <w:rsid w:val="00123630"/>
    <w:rsid w:val="00123691"/>
    <w:rsid w:val="00123ECB"/>
    <w:rsid w:val="001259F1"/>
    <w:rsid w:val="00127B7D"/>
    <w:rsid w:val="001302D2"/>
    <w:rsid w:val="00133545"/>
    <w:rsid w:val="00133C7B"/>
    <w:rsid w:val="00141F6D"/>
    <w:rsid w:val="00143EE4"/>
    <w:rsid w:val="00146B90"/>
    <w:rsid w:val="00146F40"/>
    <w:rsid w:val="0014718B"/>
    <w:rsid w:val="001516EE"/>
    <w:rsid w:val="00161329"/>
    <w:rsid w:val="0016423A"/>
    <w:rsid w:val="00166ADB"/>
    <w:rsid w:val="0017078F"/>
    <w:rsid w:val="00170CB1"/>
    <w:rsid w:val="00173B55"/>
    <w:rsid w:val="00175A54"/>
    <w:rsid w:val="00175FD4"/>
    <w:rsid w:val="00180D5D"/>
    <w:rsid w:val="00182AE9"/>
    <w:rsid w:val="00183690"/>
    <w:rsid w:val="00185650"/>
    <w:rsid w:val="00185B38"/>
    <w:rsid w:val="00186524"/>
    <w:rsid w:val="00186E46"/>
    <w:rsid w:val="00190479"/>
    <w:rsid w:val="0019638E"/>
    <w:rsid w:val="00196CAD"/>
    <w:rsid w:val="001A14CF"/>
    <w:rsid w:val="001A1B36"/>
    <w:rsid w:val="001A252F"/>
    <w:rsid w:val="001A372D"/>
    <w:rsid w:val="001B4A14"/>
    <w:rsid w:val="001B4CEE"/>
    <w:rsid w:val="001B5335"/>
    <w:rsid w:val="001B6E10"/>
    <w:rsid w:val="001B738A"/>
    <w:rsid w:val="001C1B3F"/>
    <w:rsid w:val="001C4D04"/>
    <w:rsid w:val="001C67A8"/>
    <w:rsid w:val="001D37BA"/>
    <w:rsid w:val="001D3B54"/>
    <w:rsid w:val="001E27C1"/>
    <w:rsid w:val="001E2F18"/>
    <w:rsid w:val="001E3B1D"/>
    <w:rsid w:val="001E5907"/>
    <w:rsid w:val="001F1682"/>
    <w:rsid w:val="001F6413"/>
    <w:rsid w:val="002011D4"/>
    <w:rsid w:val="00203468"/>
    <w:rsid w:val="00206D3B"/>
    <w:rsid w:val="002075B5"/>
    <w:rsid w:val="00211A66"/>
    <w:rsid w:val="00215B8D"/>
    <w:rsid w:val="00216BE0"/>
    <w:rsid w:val="00220A12"/>
    <w:rsid w:val="00225B00"/>
    <w:rsid w:val="002366B0"/>
    <w:rsid w:val="00240E7F"/>
    <w:rsid w:val="00242055"/>
    <w:rsid w:val="002442AF"/>
    <w:rsid w:val="00246071"/>
    <w:rsid w:val="00247FE9"/>
    <w:rsid w:val="00250FEF"/>
    <w:rsid w:val="002560E6"/>
    <w:rsid w:val="00256AFC"/>
    <w:rsid w:val="002631A0"/>
    <w:rsid w:val="002636D3"/>
    <w:rsid w:val="00266A21"/>
    <w:rsid w:val="00270948"/>
    <w:rsid w:val="00275F5E"/>
    <w:rsid w:val="00277E84"/>
    <w:rsid w:val="00283C78"/>
    <w:rsid w:val="002903A6"/>
    <w:rsid w:val="002919D9"/>
    <w:rsid w:val="002948D7"/>
    <w:rsid w:val="00294E34"/>
    <w:rsid w:val="00295DA0"/>
    <w:rsid w:val="002A4928"/>
    <w:rsid w:val="002A63F5"/>
    <w:rsid w:val="002B0F02"/>
    <w:rsid w:val="002B2AB0"/>
    <w:rsid w:val="002B5A1E"/>
    <w:rsid w:val="002B7858"/>
    <w:rsid w:val="002C2168"/>
    <w:rsid w:val="002C4F1C"/>
    <w:rsid w:val="002D0CD3"/>
    <w:rsid w:val="002D12D7"/>
    <w:rsid w:val="002D206D"/>
    <w:rsid w:val="002D2276"/>
    <w:rsid w:val="002D2713"/>
    <w:rsid w:val="002D2C45"/>
    <w:rsid w:val="002D5CDB"/>
    <w:rsid w:val="002D6693"/>
    <w:rsid w:val="002E0067"/>
    <w:rsid w:val="002E5529"/>
    <w:rsid w:val="002E7676"/>
    <w:rsid w:val="002F2D38"/>
    <w:rsid w:val="002F4DDD"/>
    <w:rsid w:val="003053E2"/>
    <w:rsid w:val="00314A1A"/>
    <w:rsid w:val="0031563B"/>
    <w:rsid w:val="00320093"/>
    <w:rsid w:val="00320824"/>
    <w:rsid w:val="00326A08"/>
    <w:rsid w:val="003344C8"/>
    <w:rsid w:val="00334515"/>
    <w:rsid w:val="00335035"/>
    <w:rsid w:val="00347284"/>
    <w:rsid w:val="00351969"/>
    <w:rsid w:val="0035358E"/>
    <w:rsid w:val="003544AB"/>
    <w:rsid w:val="00361679"/>
    <w:rsid w:val="00361950"/>
    <w:rsid w:val="003640AA"/>
    <w:rsid w:val="00370724"/>
    <w:rsid w:val="00386635"/>
    <w:rsid w:val="003924DE"/>
    <w:rsid w:val="003935A7"/>
    <w:rsid w:val="0039368E"/>
    <w:rsid w:val="0039704F"/>
    <w:rsid w:val="003A1012"/>
    <w:rsid w:val="003A526C"/>
    <w:rsid w:val="003A656A"/>
    <w:rsid w:val="003A7F2C"/>
    <w:rsid w:val="003B1631"/>
    <w:rsid w:val="003B4E15"/>
    <w:rsid w:val="003B63F6"/>
    <w:rsid w:val="003C4AAE"/>
    <w:rsid w:val="003C55DE"/>
    <w:rsid w:val="003D10CA"/>
    <w:rsid w:val="003D1312"/>
    <w:rsid w:val="003D1A8C"/>
    <w:rsid w:val="003D1D85"/>
    <w:rsid w:val="003D26AC"/>
    <w:rsid w:val="003D7542"/>
    <w:rsid w:val="003E0225"/>
    <w:rsid w:val="003E1008"/>
    <w:rsid w:val="003E17EE"/>
    <w:rsid w:val="003F01CB"/>
    <w:rsid w:val="003F2C42"/>
    <w:rsid w:val="003F3A8D"/>
    <w:rsid w:val="00401C19"/>
    <w:rsid w:val="00403A4C"/>
    <w:rsid w:val="00406F1A"/>
    <w:rsid w:val="004152A4"/>
    <w:rsid w:val="004177A9"/>
    <w:rsid w:val="0042541D"/>
    <w:rsid w:val="004264EB"/>
    <w:rsid w:val="00430958"/>
    <w:rsid w:val="00431239"/>
    <w:rsid w:val="00431FAA"/>
    <w:rsid w:val="00432F90"/>
    <w:rsid w:val="00433F65"/>
    <w:rsid w:val="004401F2"/>
    <w:rsid w:val="00442F9D"/>
    <w:rsid w:val="00444BB9"/>
    <w:rsid w:val="00444C21"/>
    <w:rsid w:val="004455F8"/>
    <w:rsid w:val="00451766"/>
    <w:rsid w:val="00451EF7"/>
    <w:rsid w:val="004527D1"/>
    <w:rsid w:val="00454879"/>
    <w:rsid w:val="00455152"/>
    <w:rsid w:val="0045788B"/>
    <w:rsid w:val="00461D90"/>
    <w:rsid w:val="004664E0"/>
    <w:rsid w:val="00466CFF"/>
    <w:rsid w:val="00471023"/>
    <w:rsid w:val="0047150A"/>
    <w:rsid w:val="004743C0"/>
    <w:rsid w:val="00476C3C"/>
    <w:rsid w:val="004770B5"/>
    <w:rsid w:val="0048029D"/>
    <w:rsid w:val="0048180D"/>
    <w:rsid w:val="00482B62"/>
    <w:rsid w:val="00484A45"/>
    <w:rsid w:val="004853D4"/>
    <w:rsid w:val="0049777F"/>
    <w:rsid w:val="004A2632"/>
    <w:rsid w:val="004A26E6"/>
    <w:rsid w:val="004A4FF7"/>
    <w:rsid w:val="004A6E69"/>
    <w:rsid w:val="004A741B"/>
    <w:rsid w:val="004A7AB6"/>
    <w:rsid w:val="004A7DF0"/>
    <w:rsid w:val="004B541F"/>
    <w:rsid w:val="004B55F9"/>
    <w:rsid w:val="004B5B83"/>
    <w:rsid w:val="004B6597"/>
    <w:rsid w:val="004C2EDA"/>
    <w:rsid w:val="004C41DD"/>
    <w:rsid w:val="004C5012"/>
    <w:rsid w:val="004C54CF"/>
    <w:rsid w:val="004C6CDF"/>
    <w:rsid w:val="004D4D29"/>
    <w:rsid w:val="004D5F6B"/>
    <w:rsid w:val="004D69D5"/>
    <w:rsid w:val="004E0631"/>
    <w:rsid w:val="004E3472"/>
    <w:rsid w:val="004E3D56"/>
    <w:rsid w:val="004E5725"/>
    <w:rsid w:val="004E5757"/>
    <w:rsid w:val="004F1AAF"/>
    <w:rsid w:val="005078A5"/>
    <w:rsid w:val="00513461"/>
    <w:rsid w:val="00513790"/>
    <w:rsid w:val="005260C2"/>
    <w:rsid w:val="005260D4"/>
    <w:rsid w:val="005448C7"/>
    <w:rsid w:val="0054690F"/>
    <w:rsid w:val="00546948"/>
    <w:rsid w:val="00547BA1"/>
    <w:rsid w:val="00547F9E"/>
    <w:rsid w:val="00551A75"/>
    <w:rsid w:val="0055416D"/>
    <w:rsid w:val="00554884"/>
    <w:rsid w:val="00555008"/>
    <w:rsid w:val="0056488A"/>
    <w:rsid w:val="005668A8"/>
    <w:rsid w:val="00566938"/>
    <w:rsid w:val="00566BC1"/>
    <w:rsid w:val="005706F9"/>
    <w:rsid w:val="00571442"/>
    <w:rsid w:val="0058036B"/>
    <w:rsid w:val="005804AB"/>
    <w:rsid w:val="00580D07"/>
    <w:rsid w:val="0058195C"/>
    <w:rsid w:val="005830EB"/>
    <w:rsid w:val="00583E54"/>
    <w:rsid w:val="00585FEE"/>
    <w:rsid w:val="0058736E"/>
    <w:rsid w:val="0058774E"/>
    <w:rsid w:val="005921B3"/>
    <w:rsid w:val="00593FCC"/>
    <w:rsid w:val="00595E8D"/>
    <w:rsid w:val="005A4331"/>
    <w:rsid w:val="005B05C5"/>
    <w:rsid w:val="005B410E"/>
    <w:rsid w:val="005C40F1"/>
    <w:rsid w:val="005C4F84"/>
    <w:rsid w:val="005C5611"/>
    <w:rsid w:val="005C63BE"/>
    <w:rsid w:val="005D20B3"/>
    <w:rsid w:val="005E1F86"/>
    <w:rsid w:val="005E1FEE"/>
    <w:rsid w:val="005E4764"/>
    <w:rsid w:val="005E52C0"/>
    <w:rsid w:val="005E567D"/>
    <w:rsid w:val="005F138B"/>
    <w:rsid w:val="005F3847"/>
    <w:rsid w:val="005F55B9"/>
    <w:rsid w:val="005F6199"/>
    <w:rsid w:val="00600A38"/>
    <w:rsid w:val="006015A0"/>
    <w:rsid w:val="006028D0"/>
    <w:rsid w:val="00602F78"/>
    <w:rsid w:val="00610DE2"/>
    <w:rsid w:val="00611973"/>
    <w:rsid w:val="00612022"/>
    <w:rsid w:val="00613FEA"/>
    <w:rsid w:val="00622AEF"/>
    <w:rsid w:val="006274AC"/>
    <w:rsid w:val="0062769B"/>
    <w:rsid w:val="00627920"/>
    <w:rsid w:val="00630F1F"/>
    <w:rsid w:val="006357BB"/>
    <w:rsid w:val="006377F5"/>
    <w:rsid w:val="00640A57"/>
    <w:rsid w:val="00641C6D"/>
    <w:rsid w:val="00642AC3"/>
    <w:rsid w:val="00642DF5"/>
    <w:rsid w:val="006507AC"/>
    <w:rsid w:val="006528D1"/>
    <w:rsid w:val="00653EA7"/>
    <w:rsid w:val="00653FBE"/>
    <w:rsid w:val="00655E34"/>
    <w:rsid w:val="0066409D"/>
    <w:rsid w:val="006665BF"/>
    <w:rsid w:val="006673CE"/>
    <w:rsid w:val="00670D8D"/>
    <w:rsid w:val="00683807"/>
    <w:rsid w:val="00683BD6"/>
    <w:rsid w:val="006961BF"/>
    <w:rsid w:val="006979D4"/>
    <w:rsid w:val="006A0438"/>
    <w:rsid w:val="006B215C"/>
    <w:rsid w:val="006C1AFB"/>
    <w:rsid w:val="006C5DF3"/>
    <w:rsid w:val="006C6D05"/>
    <w:rsid w:val="006C6FA4"/>
    <w:rsid w:val="006C766A"/>
    <w:rsid w:val="006D4BDB"/>
    <w:rsid w:val="006E2E81"/>
    <w:rsid w:val="006E4DBB"/>
    <w:rsid w:val="006E66BE"/>
    <w:rsid w:val="006E7F7D"/>
    <w:rsid w:val="006F7C0F"/>
    <w:rsid w:val="007050F0"/>
    <w:rsid w:val="0071081F"/>
    <w:rsid w:val="00713189"/>
    <w:rsid w:val="0071655A"/>
    <w:rsid w:val="00716CB7"/>
    <w:rsid w:val="007234C6"/>
    <w:rsid w:val="00726A68"/>
    <w:rsid w:val="00730CA8"/>
    <w:rsid w:val="00732744"/>
    <w:rsid w:val="0073789A"/>
    <w:rsid w:val="0074112E"/>
    <w:rsid w:val="00741173"/>
    <w:rsid w:val="00742BDC"/>
    <w:rsid w:val="00745DFD"/>
    <w:rsid w:val="00746697"/>
    <w:rsid w:val="00746C3A"/>
    <w:rsid w:val="00746D4B"/>
    <w:rsid w:val="007473C5"/>
    <w:rsid w:val="0075129F"/>
    <w:rsid w:val="00753633"/>
    <w:rsid w:val="00753C3B"/>
    <w:rsid w:val="00755B09"/>
    <w:rsid w:val="0075745D"/>
    <w:rsid w:val="00757895"/>
    <w:rsid w:val="00757BDD"/>
    <w:rsid w:val="00763F1D"/>
    <w:rsid w:val="00764E46"/>
    <w:rsid w:val="00766517"/>
    <w:rsid w:val="007704CC"/>
    <w:rsid w:val="0077463A"/>
    <w:rsid w:val="007774E2"/>
    <w:rsid w:val="00780082"/>
    <w:rsid w:val="00782007"/>
    <w:rsid w:val="00793E86"/>
    <w:rsid w:val="007A0D2A"/>
    <w:rsid w:val="007A1C5B"/>
    <w:rsid w:val="007A67FF"/>
    <w:rsid w:val="007A6BC6"/>
    <w:rsid w:val="007B1819"/>
    <w:rsid w:val="007B5378"/>
    <w:rsid w:val="007B5C8A"/>
    <w:rsid w:val="007C2065"/>
    <w:rsid w:val="007D5383"/>
    <w:rsid w:val="007E224A"/>
    <w:rsid w:val="007E4750"/>
    <w:rsid w:val="007E6B2F"/>
    <w:rsid w:val="007E72F2"/>
    <w:rsid w:val="007E79BB"/>
    <w:rsid w:val="00800FCC"/>
    <w:rsid w:val="00801844"/>
    <w:rsid w:val="008028AA"/>
    <w:rsid w:val="00806FF0"/>
    <w:rsid w:val="008109AD"/>
    <w:rsid w:val="00810AF0"/>
    <w:rsid w:val="00811B3B"/>
    <w:rsid w:val="00813D38"/>
    <w:rsid w:val="00815C58"/>
    <w:rsid w:val="00817B4D"/>
    <w:rsid w:val="00821FE6"/>
    <w:rsid w:val="00831686"/>
    <w:rsid w:val="0083362A"/>
    <w:rsid w:val="0083797E"/>
    <w:rsid w:val="00847CA9"/>
    <w:rsid w:val="008507D1"/>
    <w:rsid w:val="00850A51"/>
    <w:rsid w:val="0085472D"/>
    <w:rsid w:val="0085507A"/>
    <w:rsid w:val="00861210"/>
    <w:rsid w:val="00862345"/>
    <w:rsid w:val="00862E8B"/>
    <w:rsid w:val="00863BCC"/>
    <w:rsid w:val="00863FFE"/>
    <w:rsid w:val="00865049"/>
    <w:rsid w:val="00872DF2"/>
    <w:rsid w:val="00874E07"/>
    <w:rsid w:val="0087695D"/>
    <w:rsid w:val="008852AE"/>
    <w:rsid w:val="008860D3"/>
    <w:rsid w:val="00887231"/>
    <w:rsid w:val="0088739D"/>
    <w:rsid w:val="0089583D"/>
    <w:rsid w:val="00897C6A"/>
    <w:rsid w:val="008A20D2"/>
    <w:rsid w:val="008A6E8C"/>
    <w:rsid w:val="008A723C"/>
    <w:rsid w:val="008A76A3"/>
    <w:rsid w:val="008B2521"/>
    <w:rsid w:val="008B2C05"/>
    <w:rsid w:val="008B4A56"/>
    <w:rsid w:val="008B7B56"/>
    <w:rsid w:val="008C7A25"/>
    <w:rsid w:val="008D3546"/>
    <w:rsid w:val="008D49E9"/>
    <w:rsid w:val="008D5CF4"/>
    <w:rsid w:val="008E0998"/>
    <w:rsid w:val="008E37C7"/>
    <w:rsid w:val="008E784F"/>
    <w:rsid w:val="008F01B8"/>
    <w:rsid w:val="008F3948"/>
    <w:rsid w:val="008F6EDB"/>
    <w:rsid w:val="009023EE"/>
    <w:rsid w:val="00902C6D"/>
    <w:rsid w:val="00907092"/>
    <w:rsid w:val="0090710E"/>
    <w:rsid w:val="00907E36"/>
    <w:rsid w:val="00910E2E"/>
    <w:rsid w:val="00913C17"/>
    <w:rsid w:val="00914B01"/>
    <w:rsid w:val="0092545C"/>
    <w:rsid w:val="00932566"/>
    <w:rsid w:val="009360F5"/>
    <w:rsid w:val="00940C06"/>
    <w:rsid w:val="00940FEA"/>
    <w:rsid w:val="0094276D"/>
    <w:rsid w:val="00946C6E"/>
    <w:rsid w:val="009474AF"/>
    <w:rsid w:val="009540E0"/>
    <w:rsid w:val="00955FE5"/>
    <w:rsid w:val="00956D27"/>
    <w:rsid w:val="00962AFB"/>
    <w:rsid w:val="00966A20"/>
    <w:rsid w:val="00972778"/>
    <w:rsid w:val="00973A06"/>
    <w:rsid w:val="0097515C"/>
    <w:rsid w:val="0097625B"/>
    <w:rsid w:val="00976BCE"/>
    <w:rsid w:val="00976CA2"/>
    <w:rsid w:val="0097730F"/>
    <w:rsid w:val="00977F36"/>
    <w:rsid w:val="00980095"/>
    <w:rsid w:val="00980ADA"/>
    <w:rsid w:val="009833AD"/>
    <w:rsid w:val="00986A64"/>
    <w:rsid w:val="009A15C8"/>
    <w:rsid w:val="009A42A0"/>
    <w:rsid w:val="009A4C0F"/>
    <w:rsid w:val="009A581B"/>
    <w:rsid w:val="009B0B03"/>
    <w:rsid w:val="009B402B"/>
    <w:rsid w:val="009C5234"/>
    <w:rsid w:val="009C5A91"/>
    <w:rsid w:val="009C7124"/>
    <w:rsid w:val="009D1E22"/>
    <w:rsid w:val="009D3872"/>
    <w:rsid w:val="009D3A79"/>
    <w:rsid w:val="009D4386"/>
    <w:rsid w:val="009E05A2"/>
    <w:rsid w:val="009E16BD"/>
    <w:rsid w:val="009F1E5B"/>
    <w:rsid w:val="009F225F"/>
    <w:rsid w:val="009F4171"/>
    <w:rsid w:val="009F4F75"/>
    <w:rsid w:val="00A07262"/>
    <w:rsid w:val="00A1220F"/>
    <w:rsid w:val="00A2017D"/>
    <w:rsid w:val="00A214AD"/>
    <w:rsid w:val="00A22E30"/>
    <w:rsid w:val="00A26882"/>
    <w:rsid w:val="00A308F1"/>
    <w:rsid w:val="00A30A27"/>
    <w:rsid w:val="00A3235F"/>
    <w:rsid w:val="00A35410"/>
    <w:rsid w:val="00A366D3"/>
    <w:rsid w:val="00A36711"/>
    <w:rsid w:val="00A368DF"/>
    <w:rsid w:val="00A36B17"/>
    <w:rsid w:val="00A36DF4"/>
    <w:rsid w:val="00A445BE"/>
    <w:rsid w:val="00A568F1"/>
    <w:rsid w:val="00A60E8C"/>
    <w:rsid w:val="00A6349D"/>
    <w:rsid w:val="00A65231"/>
    <w:rsid w:val="00A66A7A"/>
    <w:rsid w:val="00A67D64"/>
    <w:rsid w:val="00A72185"/>
    <w:rsid w:val="00A731AC"/>
    <w:rsid w:val="00A74EE4"/>
    <w:rsid w:val="00A81D11"/>
    <w:rsid w:val="00A9021A"/>
    <w:rsid w:val="00A90668"/>
    <w:rsid w:val="00A90E10"/>
    <w:rsid w:val="00A91364"/>
    <w:rsid w:val="00A92B28"/>
    <w:rsid w:val="00A942C2"/>
    <w:rsid w:val="00A95E1F"/>
    <w:rsid w:val="00AA2803"/>
    <w:rsid w:val="00AA571A"/>
    <w:rsid w:val="00AA6A43"/>
    <w:rsid w:val="00AB0A3F"/>
    <w:rsid w:val="00AB20F7"/>
    <w:rsid w:val="00AB5B9A"/>
    <w:rsid w:val="00AB63F4"/>
    <w:rsid w:val="00AC72BB"/>
    <w:rsid w:val="00AD4EB3"/>
    <w:rsid w:val="00AD6BA5"/>
    <w:rsid w:val="00AE28B5"/>
    <w:rsid w:val="00AE45A4"/>
    <w:rsid w:val="00AE5AC1"/>
    <w:rsid w:val="00AE7481"/>
    <w:rsid w:val="00AF1B63"/>
    <w:rsid w:val="00AF4D6F"/>
    <w:rsid w:val="00AF72C6"/>
    <w:rsid w:val="00B030D7"/>
    <w:rsid w:val="00B1139A"/>
    <w:rsid w:val="00B14742"/>
    <w:rsid w:val="00B20BD8"/>
    <w:rsid w:val="00B214E7"/>
    <w:rsid w:val="00B23BC5"/>
    <w:rsid w:val="00B24790"/>
    <w:rsid w:val="00B30931"/>
    <w:rsid w:val="00B332DD"/>
    <w:rsid w:val="00B339D5"/>
    <w:rsid w:val="00B411EE"/>
    <w:rsid w:val="00B43260"/>
    <w:rsid w:val="00B46B46"/>
    <w:rsid w:val="00B52008"/>
    <w:rsid w:val="00B54977"/>
    <w:rsid w:val="00B55C3E"/>
    <w:rsid w:val="00B65EA3"/>
    <w:rsid w:val="00B70385"/>
    <w:rsid w:val="00B70C7A"/>
    <w:rsid w:val="00B7133A"/>
    <w:rsid w:val="00B71C8F"/>
    <w:rsid w:val="00B734A1"/>
    <w:rsid w:val="00B762E8"/>
    <w:rsid w:val="00B8171B"/>
    <w:rsid w:val="00B85468"/>
    <w:rsid w:val="00B95F49"/>
    <w:rsid w:val="00B960F8"/>
    <w:rsid w:val="00B962C4"/>
    <w:rsid w:val="00BA4388"/>
    <w:rsid w:val="00BA5C27"/>
    <w:rsid w:val="00BB15AD"/>
    <w:rsid w:val="00BB3B99"/>
    <w:rsid w:val="00BC1B24"/>
    <w:rsid w:val="00BC36CB"/>
    <w:rsid w:val="00BC3DB0"/>
    <w:rsid w:val="00BC413A"/>
    <w:rsid w:val="00BD21F9"/>
    <w:rsid w:val="00BD7AB3"/>
    <w:rsid w:val="00BE2311"/>
    <w:rsid w:val="00BE2F6F"/>
    <w:rsid w:val="00BE465D"/>
    <w:rsid w:val="00BF07DF"/>
    <w:rsid w:val="00BF14BD"/>
    <w:rsid w:val="00BF53B4"/>
    <w:rsid w:val="00BF5C91"/>
    <w:rsid w:val="00C07E42"/>
    <w:rsid w:val="00C10AF2"/>
    <w:rsid w:val="00C17EF9"/>
    <w:rsid w:val="00C20986"/>
    <w:rsid w:val="00C22510"/>
    <w:rsid w:val="00C22FDA"/>
    <w:rsid w:val="00C24FC5"/>
    <w:rsid w:val="00C31083"/>
    <w:rsid w:val="00C43797"/>
    <w:rsid w:val="00C4646C"/>
    <w:rsid w:val="00C51FD0"/>
    <w:rsid w:val="00C5283F"/>
    <w:rsid w:val="00C5647F"/>
    <w:rsid w:val="00C56D8A"/>
    <w:rsid w:val="00C6005D"/>
    <w:rsid w:val="00C63017"/>
    <w:rsid w:val="00C762AA"/>
    <w:rsid w:val="00C82C0F"/>
    <w:rsid w:val="00C86E5D"/>
    <w:rsid w:val="00C878BB"/>
    <w:rsid w:val="00C9418C"/>
    <w:rsid w:val="00C94DD1"/>
    <w:rsid w:val="00CA0750"/>
    <w:rsid w:val="00CA177B"/>
    <w:rsid w:val="00CA5110"/>
    <w:rsid w:val="00CB2C90"/>
    <w:rsid w:val="00CB4889"/>
    <w:rsid w:val="00CB4E0F"/>
    <w:rsid w:val="00CB7A18"/>
    <w:rsid w:val="00CC03AC"/>
    <w:rsid w:val="00CC05F5"/>
    <w:rsid w:val="00CC4CCB"/>
    <w:rsid w:val="00CC76A3"/>
    <w:rsid w:val="00CD0AFA"/>
    <w:rsid w:val="00CD15A4"/>
    <w:rsid w:val="00CD2D62"/>
    <w:rsid w:val="00CD35CE"/>
    <w:rsid w:val="00CD5910"/>
    <w:rsid w:val="00CE1457"/>
    <w:rsid w:val="00CE5256"/>
    <w:rsid w:val="00CE5B0E"/>
    <w:rsid w:val="00CF0C8D"/>
    <w:rsid w:val="00CF38EB"/>
    <w:rsid w:val="00CF494A"/>
    <w:rsid w:val="00CF7F7A"/>
    <w:rsid w:val="00D112DA"/>
    <w:rsid w:val="00D1367C"/>
    <w:rsid w:val="00D14B38"/>
    <w:rsid w:val="00D16EE9"/>
    <w:rsid w:val="00D17068"/>
    <w:rsid w:val="00D222D0"/>
    <w:rsid w:val="00D23A80"/>
    <w:rsid w:val="00D2427A"/>
    <w:rsid w:val="00D253C3"/>
    <w:rsid w:val="00D2634E"/>
    <w:rsid w:val="00D31CE9"/>
    <w:rsid w:val="00D346AE"/>
    <w:rsid w:val="00D34750"/>
    <w:rsid w:val="00D3626D"/>
    <w:rsid w:val="00D451AB"/>
    <w:rsid w:val="00D54AC8"/>
    <w:rsid w:val="00D6666E"/>
    <w:rsid w:val="00D77D6E"/>
    <w:rsid w:val="00D80406"/>
    <w:rsid w:val="00D80A16"/>
    <w:rsid w:val="00D80BC3"/>
    <w:rsid w:val="00D82393"/>
    <w:rsid w:val="00D84CE5"/>
    <w:rsid w:val="00D91AEF"/>
    <w:rsid w:val="00D96F90"/>
    <w:rsid w:val="00DA02D6"/>
    <w:rsid w:val="00DA09C3"/>
    <w:rsid w:val="00DB1B6C"/>
    <w:rsid w:val="00DB4D24"/>
    <w:rsid w:val="00DB51F7"/>
    <w:rsid w:val="00DB5C55"/>
    <w:rsid w:val="00DC0472"/>
    <w:rsid w:val="00DC0502"/>
    <w:rsid w:val="00DC0547"/>
    <w:rsid w:val="00DC14C0"/>
    <w:rsid w:val="00DC3BA6"/>
    <w:rsid w:val="00DC3C98"/>
    <w:rsid w:val="00DC663C"/>
    <w:rsid w:val="00DD069F"/>
    <w:rsid w:val="00DD5F7C"/>
    <w:rsid w:val="00DD6566"/>
    <w:rsid w:val="00DE1AB3"/>
    <w:rsid w:val="00DE1C70"/>
    <w:rsid w:val="00DE72B2"/>
    <w:rsid w:val="00DF0360"/>
    <w:rsid w:val="00DF535D"/>
    <w:rsid w:val="00E00BE8"/>
    <w:rsid w:val="00E05743"/>
    <w:rsid w:val="00E14576"/>
    <w:rsid w:val="00E162EE"/>
    <w:rsid w:val="00E167A5"/>
    <w:rsid w:val="00E16E1C"/>
    <w:rsid w:val="00E17478"/>
    <w:rsid w:val="00E20C1B"/>
    <w:rsid w:val="00E26AA2"/>
    <w:rsid w:val="00E26DA4"/>
    <w:rsid w:val="00E31103"/>
    <w:rsid w:val="00E356E0"/>
    <w:rsid w:val="00E4154A"/>
    <w:rsid w:val="00E41627"/>
    <w:rsid w:val="00E41F18"/>
    <w:rsid w:val="00E44031"/>
    <w:rsid w:val="00E47782"/>
    <w:rsid w:val="00E47FA2"/>
    <w:rsid w:val="00E509D3"/>
    <w:rsid w:val="00E517B7"/>
    <w:rsid w:val="00E52661"/>
    <w:rsid w:val="00E5651D"/>
    <w:rsid w:val="00E57C8C"/>
    <w:rsid w:val="00E60B58"/>
    <w:rsid w:val="00E624F1"/>
    <w:rsid w:val="00E646B1"/>
    <w:rsid w:val="00E653EB"/>
    <w:rsid w:val="00E65688"/>
    <w:rsid w:val="00E656A9"/>
    <w:rsid w:val="00E65A2C"/>
    <w:rsid w:val="00E7355A"/>
    <w:rsid w:val="00E76363"/>
    <w:rsid w:val="00E82E36"/>
    <w:rsid w:val="00E852B7"/>
    <w:rsid w:val="00E856B7"/>
    <w:rsid w:val="00E90384"/>
    <w:rsid w:val="00EA7908"/>
    <w:rsid w:val="00EC03EB"/>
    <w:rsid w:val="00EC07F8"/>
    <w:rsid w:val="00EC188D"/>
    <w:rsid w:val="00EC24F9"/>
    <w:rsid w:val="00EC47E1"/>
    <w:rsid w:val="00ED1A2A"/>
    <w:rsid w:val="00ED456A"/>
    <w:rsid w:val="00EE16B9"/>
    <w:rsid w:val="00EE2DE9"/>
    <w:rsid w:val="00EE4B28"/>
    <w:rsid w:val="00EE6AB2"/>
    <w:rsid w:val="00EF4511"/>
    <w:rsid w:val="00EF4AED"/>
    <w:rsid w:val="00F0220B"/>
    <w:rsid w:val="00F03104"/>
    <w:rsid w:val="00F03745"/>
    <w:rsid w:val="00F03F25"/>
    <w:rsid w:val="00F05178"/>
    <w:rsid w:val="00F07917"/>
    <w:rsid w:val="00F14016"/>
    <w:rsid w:val="00F1584A"/>
    <w:rsid w:val="00F16707"/>
    <w:rsid w:val="00F20205"/>
    <w:rsid w:val="00F2045E"/>
    <w:rsid w:val="00F31953"/>
    <w:rsid w:val="00F31D2D"/>
    <w:rsid w:val="00F35E7C"/>
    <w:rsid w:val="00F3615C"/>
    <w:rsid w:val="00F368B7"/>
    <w:rsid w:val="00F44A01"/>
    <w:rsid w:val="00F457A3"/>
    <w:rsid w:val="00F45EAA"/>
    <w:rsid w:val="00F46D7F"/>
    <w:rsid w:val="00F502CA"/>
    <w:rsid w:val="00F53735"/>
    <w:rsid w:val="00F5400C"/>
    <w:rsid w:val="00F575EC"/>
    <w:rsid w:val="00F631A2"/>
    <w:rsid w:val="00F64754"/>
    <w:rsid w:val="00F668EF"/>
    <w:rsid w:val="00F66C58"/>
    <w:rsid w:val="00F670CB"/>
    <w:rsid w:val="00F67E0E"/>
    <w:rsid w:val="00F70EEF"/>
    <w:rsid w:val="00F711B2"/>
    <w:rsid w:val="00F73C14"/>
    <w:rsid w:val="00F7496A"/>
    <w:rsid w:val="00F82B04"/>
    <w:rsid w:val="00F83311"/>
    <w:rsid w:val="00F858EF"/>
    <w:rsid w:val="00F8605F"/>
    <w:rsid w:val="00FA0A9C"/>
    <w:rsid w:val="00FB4F95"/>
    <w:rsid w:val="00FB56D1"/>
    <w:rsid w:val="00FB5B8C"/>
    <w:rsid w:val="00FB5D99"/>
    <w:rsid w:val="00FC110B"/>
    <w:rsid w:val="00FD4370"/>
    <w:rsid w:val="00FD55FC"/>
    <w:rsid w:val="00FE042D"/>
    <w:rsid w:val="00FE2E1B"/>
    <w:rsid w:val="00FE59AE"/>
    <w:rsid w:val="00FE6775"/>
    <w:rsid w:val="00FE759C"/>
    <w:rsid w:val="00FF1ADE"/>
    <w:rsid w:val="00FF6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BE3BC"/>
  <w15:docId w15:val="{12C6FD31-D241-47D5-917C-F32DD384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paragraph" w:styleId="Titolo1">
    <w:name w:val="heading 1"/>
    <w:basedOn w:val="Normale"/>
    <w:link w:val="Titolo1Carattere"/>
    <w:uiPriority w:val="9"/>
    <w:qFormat/>
    <w:rsid w:val="00862E8B"/>
    <w:pPr>
      <w:ind w:left="120"/>
      <w:outlineLvl w:val="0"/>
    </w:pPr>
    <w:rPr>
      <w:b/>
      <w:bCs/>
      <w:sz w:val="30"/>
      <w:szCs w:val="30"/>
    </w:rPr>
  </w:style>
  <w:style w:type="paragraph" w:styleId="Titolo2">
    <w:name w:val="heading 2"/>
    <w:basedOn w:val="Normale"/>
    <w:next w:val="Normale"/>
    <w:link w:val="Titolo2Carattere"/>
    <w:uiPriority w:val="9"/>
    <w:semiHidden/>
    <w:unhideWhenUsed/>
    <w:qFormat/>
    <w:rsid w:val="009D387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b/>
      <w:bCs/>
      <w:sz w:val="16"/>
      <w:szCs w:val="16"/>
    </w:rPr>
  </w:style>
  <w:style w:type="paragraph" w:styleId="Titolo">
    <w:name w:val="Title"/>
    <w:basedOn w:val="Normale"/>
    <w:link w:val="TitoloCarattere"/>
    <w:uiPriority w:val="10"/>
    <w:qFormat/>
    <w:pPr>
      <w:spacing w:before="256"/>
      <w:ind w:right="119"/>
      <w:jc w:val="right"/>
    </w:pPr>
    <w:rPr>
      <w:b/>
      <w:bCs/>
      <w:sz w:val="38"/>
      <w:szCs w:val="38"/>
    </w:rPr>
  </w:style>
  <w:style w:type="paragraph" w:styleId="Paragrafoelenco">
    <w:name w:val="List Paragraph"/>
    <w:basedOn w:val="Normale"/>
    <w:uiPriority w:val="1"/>
    <w:qFormat/>
  </w:style>
  <w:style w:type="paragraph" w:customStyle="1" w:styleId="TableParagraph">
    <w:name w:val="Table Paragraph"/>
    <w:basedOn w:val="Normale"/>
    <w:uiPriority w:val="1"/>
    <w:qFormat/>
    <w:pPr>
      <w:spacing w:before="159"/>
    </w:pPr>
  </w:style>
  <w:style w:type="paragraph" w:styleId="Intestazione">
    <w:name w:val="header"/>
    <w:basedOn w:val="Normale"/>
    <w:link w:val="IntestazioneCarattere"/>
    <w:uiPriority w:val="99"/>
    <w:unhideWhenUsed/>
    <w:rsid w:val="008F6EDB"/>
    <w:pPr>
      <w:tabs>
        <w:tab w:val="center" w:pos="4680"/>
        <w:tab w:val="right" w:pos="9360"/>
      </w:tabs>
    </w:pPr>
  </w:style>
  <w:style w:type="character" w:customStyle="1" w:styleId="IntestazioneCarattere">
    <w:name w:val="Intestazione Carattere"/>
    <w:basedOn w:val="Carpredefinitoparagrafo"/>
    <w:link w:val="Intestazione"/>
    <w:uiPriority w:val="99"/>
    <w:rsid w:val="008F6EDB"/>
    <w:rPr>
      <w:rFonts w:ascii="Arial" w:eastAsia="Arial" w:hAnsi="Arial" w:cs="Arial"/>
      <w:lang w:val="it-IT"/>
    </w:rPr>
  </w:style>
  <w:style w:type="paragraph" w:styleId="Pidipagina">
    <w:name w:val="footer"/>
    <w:basedOn w:val="Normale"/>
    <w:link w:val="PidipaginaCarattere"/>
    <w:uiPriority w:val="99"/>
    <w:unhideWhenUsed/>
    <w:rsid w:val="008F6EDB"/>
    <w:pPr>
      <w:tabs>
        <w:tab w:val="center" w:pos="4680"/>
        <w:tab w:val="right" w:pos="9360"/>
      </w:tabs>
    </w:pPr>
  </w:style>
  <w:style w:type="character" w:customStyle="1" w:styleId="PidipaginaCarattere">
    <w:name w:val="Piè di pagina Carattere"/>
    <w:basedOn w:val="Carpredefinitoparagrafo"/>
    <w:link w:val="Pidipagina"/>
    <w:uiPriority w:val="99"/>
    <w:rsid w:val="008F6EDB"/>
    <w:rPr>
      <w:rFonts w:ascii="Arial" w:eastAsia="Arial" w:hAnsi="Arial" w:cs="Arial"/>
      <w:lang w:val="it-IT"/>
    </w:rPr>
  </w:style>
  <w:style w:type="character" w:customStyle="1" w:styleId="TitoloCarattere">
    <w:name w:val="Titolo Carattere"/>
    <w:basedOn w:val="Carpredefinitoparagrafo"/>
    <w:link w:val="Titolo"/>
    <w:uiPriority w:val="10"/>
    <w:rsid w:val="00B762E8"/>
    <w:rPr>
      <w:rFonts w:ascii="Arial" w:eastAsia="Arial" w:hAnsi="Arial" w:cs="Arial"/>
      <w:b/>
      <w:bCs/>
      <w:sz w:val="38"/>
      <w:szCs w:val="38"/>
      <w:lang w:val="it-IT"/>
    </w:rPr>
  </w:style>
  <w:style w:type="character" w:customStyle="1" w:styleId="Titolo1Carattere">
    <w:name w:val="Titolo 1 Carattere"/>
    <w:basedOn w:val="Carpredefinitoparagrafo"/>
    <w:link w:val="Titolo1"/>
    <w:uiPriority w:val="9"/>
    <w:rsid w:val="00862E8B"/>
    <w:rPr>
      <w:rFonts w:ascii="Arial" w:eastAsia="Arial" w:hAnsi="Arial" w:cs="Arial"/>
      <w:b/>
      <w:bCs/>
      <w:sz w:val="30"/>
      <w:szCs w:val="30"/>
      <w:lang w:val="it-IT"/>
    </w:rPr>
  </w:style>
  <w:style w:type="character" w:customStyle="1" w:styleId="Titolo2Carattere">
    <w:name w:val="Titolo 2 Carattere"/>
    <w:basedOn w:val="Carpredefinitoparagrafo"/>
    <w:link w:val="Titolo2"/>
    <w:uiPriority w:val="9"/>
    <w:semiHidden/>
    <w:rsid w:val="009D3872"/>
    <w:rPr>
      <w:rFonts w:asciiTheme="majorHAnsi" w:eastAsiaTheme="majorEastAsia" w:hAnsiTheme="majorHAnsi" w:cstheme="majorBidi"/>
      <w:color w:val="365F91" w:themeColor="accent1" w:themeShade="BF"/>
      <w:sz w:val="26"/>
      <w:szCs w:val="26"/>
      <w:lang w:val="it-IT"/>
    </w:rPr>
  </w:style>
  <w:style w:type="paragraph" w:customStyle="1" w:styleId="BasicParagraph">
    <w:name w:val="[Basic Paragraph]"/>
    <w:basedOn w:val="Normale"/>
    <w:uiPriority w:val="99"/>
    <w:rsid w:val="002D2276"/>
    <w:pPr>
      <w:widowControl/>
      <w:adjustRightInd w:val="0"/>
      <w:spacing w:line="288" w:lineRule="auto"/>
      <w:textAlignment w:val="center"/>
    </w:pPr>
    <w:rPr>
      <w:rFonts w:ascii="MinionPro-Regular" w:eastAsiaTheme="minorHAnsi" w:hAnsi="MinionPro-Regular" w:cs="MinionPro-Regular"/>
      <w:color w:val="000000"/>
      <w:sz w:val="24"/>
      <w:szCs w:val="24"/>
    </w:rPr>
  </w:style>
  <w:style w:type="character" w:styleId="Collegamentoipertestuale">
    <w:name w:val="Hyperlink"/>
    <w:basedOn w:val="Carpredefinitoparagrafo"/>
    <w:uiPriority w:val="99"/>
    <w:unhideWhenUsed/>
    <w:rsid w:val="006C766A"/>
    <w:rPr>
      <w:color w:val="0000FF" w:themeColor="hyperlink"/>
      <w:u w:val="single"/>
    </w:rPr>
  </w:style>
  <w:style w:type="character" w:styleId="Menzionenonrisolta">
    <w:name w:val="Unresolved Mention"/>
    <w:basedOn w:val="Carpredefinitoparagrafo"/>
    <w:uiPriority w:val="99"/>
    <w:semiHidden/>
    <w:unhideWhenUsed/>
    <w:rsid w:val="006C766A"/>
    <w:rPr>
      <w:color w:val="605E5C"/>
      <w:shd w:val="clear" w:color="auto" w:fill="E1DFDD"/>
    </w:rPr>
  </w:style>
  <w:style w:type="paragraph" w:styleId="Revisione">
    <w:name w:val="Revision"/>
    <w:hidden/>
    <w:uiPriority w:val="99"/>
    <w:semiHidden/>
    <w:rsid w:val="00CC76A3"/>
    <w:pPr>
      <w:widowControl/>
      <w:autoSpaceDE/>
      <w:autoSpaceDN/>
    </w:pPr>
    <w:rPr>
      <w:rFonts w:ascii="Arial" w:eastAsia="Arial" w:hAnsi="Arial" w:cs="Arial"/>
      <w:lang w:val="it-IT"/>
    </w:rPr>
  </w:style>
  <w:style w:type="paragraph" w:styleId="Testonotaapidipagina">
    <w:name w:val="footnote text"/>
    <w:basedOn w:val="Normale"/>
    <w:link w:val="TestonotaapidipaginaCarattere"/>
    <w:uiPriority w:val="99"/>
    <w:unhideWhenUsed/>
    <w:rsid w:val="00CC76A3"/>
    <w:rPr>
      <w:sz w:val="20"/>
      <w:szCs w:val="20"/>
    </w:rPr>
  </w:style>
  <w:style w:type="character" w:customStyle="1" w:styleId="TestonotaapidipaginaCarattere">
    <w:name w:val="Testo nota a piè di pagina Carattere"/>
    <w:basedOn w:val="Carpredefinitoparagrafo"/>
    <w:link w:val="Testonotaapidipagina"/>
    <w:uiPriority w:val="99"/>
    <w:rsid w:val="00CC76A3"/>
    <w:rPr>
      <w:rFonts w:ascii="Arial" w:eastAsia="Arial" w:hAnsi="Arial" w:cs="Arial"/>
      <w:sz w:val="20"/>
      <w:szCs w:val="20"/>
      <w:lang w:val="it-IT"/>
    </w:rPr>
  </w:style>
  <w:style w:type="character" w:styleId="Rimandonotaapidipagina">
    <w:name w:val="footnote reference"/>
    <w:basedOn w:val="Carpredefinitoparagrafo"/>
    <w:uiPriority w:val="99"/>
    <w:semiHidden/>
    <w:unhideWhenUsed/>
    <w:rsid w:val="00CC76A3"/>
    <w:rPr>
      <w:vertAlign w:val="superscript"/>
    </w:rPr>
  </w:style>
  <w:style w:type="character" w:styleId="Rimandocommento">
    <w:name w:val="annotation reference"/>
    <w:basedOn w:val="Carpredefinitoparagrafo"/>
    <w:uiPriority w:val="99"/>
    <w:semiHidden/>
    <w:unhideWhenUsed/>
    <w:rsid w:val="003A7F2C"/>
    <w:rPr>
      <w:sz w:val="16"/>
      <w:szCs w:val="16"/>
    </w:rPr>
  </w:style>
  <w:style w:type="paragraph" w:styleId="Testocommento">
    <w:name w:val="annotation text"/>
    <w:basedOn w:val="Normale"/>
    <w:link w:val="TestocommentoCarattere"/>
    <w:uiPriority w:val="99"/>
    <w:unhideWhenUsed/>
    <w:rsid w:val="003A7F2C"/>
    <w:rPr>
      <w:sz w:val="20"/>
      <w:szCs w:val="20"/>
    </w:rPr>
  </w:style>
  <w:style w:type="character" w:customStyle="1" w:styleId="TestocommentoCarattere">
    <w:name w:val="Testo commento Carattere"/>
    <w:basedOn w:val="Carpredefinitoparagrafo"/>
    <w:link w:val="Testocommento"/>
    <w:uiPriority w:val="99"/>
    <w:rsid w:val="003A7F2C"/>
    <w:rPr>
      <w:rFonts w:ascii="Arial" w:eastAsia="Arial" w:hAnsi="Arial" w:cs="Arial"/>
      <w:sz w:val="20"/>
      <w:szCs w:val="20"/>
      <w:lang w:val="it-IT"/>
    </w:rPr>
  </w:style>
  <w:style w:type="paragraph" w:styleId="Soggettocommento">
    <w:name w:val="annotation subject"/>
    <w:basedOn w:val="Testocommento"/>
    <w:next w:val="Testocommento"/>
    <w:link w:val="SoggettocommentoCarattere"/>
    <w:uiPriority w:val="99"/>
    <w:semiHidden/>
    <w:unhideWhenUsed/>
    <w:rsid w:val="003A7F2C"/>
    <w:rPr>
      <w:b/>
      <w:bCs/>
    </w:rPr>
  </w:style>
  <w:style w:type="character" w:customStyle="1" w:styleId="SoggettocommentoCarattere">
    <w:name w:val="Soggetto commento Carattere"/>
    <w:basedOn w:val="TestocommentoCarattere"/>
    <w:link w:val="Soggettocommento"/>
    <w:uiPriority w:val="99"/>
    <w:semiHidden/>
    <w:rsid w:val="003A7F2C"/>
    <w:rPr>
      <w:rFonts w:ascii="Arial" w:eastAsia="Arial" w:hAnsi="Arial" w:cs="Arial"/>
      <w:b/>
      <w:bCs/>
      <w:sz w:val="20"/>
      <w:szCs w:val="20"/>
      <w:lang w:val="it-IT"/>
    </w:rPr>
  </w:style>
  <w:style w:type="character" w:styleId="Collegamentovisitato">
    <w:name w:val="FollowedHyperlink"/>
    <w:basedOn w:val="Carpredefinitoparagrafo"/>
    <w:uiPriority w:val="99"/>
    <w:semiHidden/>
    <w:unhideWhenUsed/>
    <w:rsid w:val="00F631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2017">
      <w:bodyDiv w:val="1"/>
      <w:marLeft w:val="0"/>
      <w:marRight w:val="0"/>
      <w:marTop w:val="0"/>
      <w:marBottom w:val="0"/>
      <w:divBdr>
        <w:top w:val="none" w:sz="0" w:space="0" w:color="auto"/>
        <w:left w:val="none" w:sz="0" w:space="0" w:color="auto"/>
        <w:bottom w:val="none" w:sz="0" w:space="0" w:color="auto"/>
        <w:right w:val="none" w:sz="0" w:space="0" w:color="auto"/>
      </w:divBdr>
    </w:div>
    <w:div w:id="18627135">
      <w:bodyDiv w:val="1"/>
      <w:marLeft w:val="0"/>
      <w:marRight w:val="0"/>
      <w:marTop w:val="0"/>
      <w:marBottom w:val="0"/>
      <w:divBdr>
        <w:top w:val="none" w:sz="0" w:space="0" w:color="auto"/>
        <w:left w:val="none" w:sz="0" w:space="0" w:color="auto"/>
        <w:bottom w:val="none" w:sz="0" w:space="0" w:color="auto"/>
        <w:right w:val="none" w:sz="0" w:space="0" w:color="auto"/>
      </w:divBdr>
    </w:div>
    <w:div w:id="24910685">
      <w:bodyDiv w:val="1"/>
      <w:marLeft w:val="0"/>
      <w:marRight w:val="0"/>
      <w:marTop w:val="0"/>
      <w:marBottom w:val="0"/>
      <w:divBdr>
        <w:top w:val="none" w:sz="0" w:space="0" w:color="auto"/>
        <w:left w:val="none" w:sz="0" w:space="0" w:color="auto"/>
        <w:bottom w:val="none" w:sz="0" w:space="0" w:color="auto"/>
        <w:right w:val="none" w:sz="0" w:space="0" w:color="auto"/>
      </w:divBdr>
    </w:div>
    <w:div w:id="166870979">
      <w:bodyDiv w:val="1"/>
      <w:marLeft w:val="0"/>
      <w:marRight w:val="0"/>
      <w:marTop w:val="0"/>
      <w:marBottom w:val="0"/>
      <w:divBdr>
        <w:top w:val="none" w:sz="0" w:space="0" w:color="auto"/>
        <w:left w:val="none" w:sz="0" w:space="0" w:color="auto"/>
        <w:bottom w:val="none" w:sz="0" w:space="0" w:color="auto"/>
        <w:right w:val="none" w:sz="0" w:space="0" w:color="auto"/>
      </w:divBdr>
    </w:div>
    <w:div w:id="213007303">
      <w:bodyDiv w:val="1"/>
      <w:marLeft w:val="0"/>
      <w:marRight w:val="0"/>
      <w:marTop w:val="0"/>
      <w:marBottom w:val="0"/>
      <w:divBdr>
        <w:top w:val="none" w:sz="0" w:space="0" w:color="auto"/>
        <w:left w:val="none" w:sz="0" w:space="0" w:color="auto"/>
        <w:bottom w:val="none" w:sz="0" w:space="0" w:color="auto"/>
        <w:right w:val="none" w:sz="0" w:space="0" w:color="auto"/>
      </w:divBdr>
    </w:div>
    <w:div w:id="264390847">
      <w:bodyDiv w:val="1"/>
      <w:marLeft w:val="0"/>
      <w:marRight w:val="0"/>
      <w:marTop w:val="0"/>
      <w:marBottom w:val="0"/>
      <w:divBdr>
        <w:top w:val="none" w:sz="0" w:space="0" w:color="auto"/>
        <w:left w:val="none" w:sz="0" w:space="0" w:color="auto"/>
        <w:bottom w:val="none" w:sz="0" w:space="0" w:color="auto"/>
        <w:right w:val="none" w:sz="0" w:space="0" w:color="auto"/>
      </w:divBdr>
    </w:div>
    <w:div w:id="296423554">
      <w:bodyDiv w:val="1"/>
      <w:marLeft w:val="0"/>
      <w:marRight w:val="0"/>
      <w:marTop w:val="0"/>
      <w:marBottom w:val="0"/>
      <w:divBdr>
        <w:top w:val="none" w:sz="0" w:space="0" w:color="auto"/>
        <w:left w:val="none" w:sz="0" w:space="0" w:color="auto"/>
        <w:bottom w:val="none" w:sz="0" w:space="0" w:color="auto"/>
        <w:right w:val="none" w:sz="0" w:space="0" w:color="auto"/>
      </w:divBdr>
    </w:div>
    <w:div w:id="506025287">
      <w:bodyDiv w:val="1"/>
      <w:marLeft w:val="0"/>
      <w:marRight w:val="0"/>
      <w:marTop w:val="0"/>
      <w:marBottom w:val="0"/>
      <w:divBdr>
        <w:top w:val="none" w:sz="0" w:space="0" w:color="auto"/>
        <w:left w:val="none" w:sz="0" w:space="0" w:color="auto"/>
        <w:bottom w:val="none" w:sz="0" w:space="0" w:color="auto"/>
        <w:right w:val="none" w:sz="0" w:space="0" w:color="auto"/>
      </w:divBdr>
    </w:div>
    <w:div w:id="700084115">
      <w:bodyDiv w:val="1"/>
      <w:marLeft w:val="0"/>
      <w:marRight w:val="0"/>
      <w:marTop w:val="0"/>
      <w:marBottom w:val="0"/>
      <w:divBdr>
        <w:top w:val="none" w:sz="0" w:space="0" w:color="auto"/>
        <w:left w:val="none" w:sz="0" w:space="0" w:color="auto"/>
        <w:bottom w:val="none" w:sz="0" w:space="0" w:color="auto"/>
        <w:right w:val="none" w:sz="0" w:space="0" w:color="auto"/>
      </w:divBdr>
    </w:div>
    <w:div w:id="896665051">
      <w:bodyDiv w:val="1"/>
      <w:marLeft w:val="0"/>
      <w:marRight w:val="0"/>
      <w:marTop w:val="0"/>
      <w:marBottom w:val="0"/>
      <w:divBdr>
        <w:top w:val="none" w:sz="0" w:space="0" w:color="auto"/>
        <w:left w:val="none" w:sz="0" w:space="0" w:color="auto"/>
        <w:bottom w:val="none" w:sz="0" w:space="0" w:color="auto"/>
        <w:right w:val="none" w:sz="0" w:space="0" w:color="auto"/>
      </w:divBdr>
    </w:div>
    <w:div w:id="931282465">
      <w:bodyDiv w:val="1"/>
      <w:marLeft w:val="0"/>
      <w:marRight w:val="0"/>
      <w:marTop w:val="0"/>
      <w:marBottom w:val="0"/>
      <w:divBdr>
        <w:top w:val="none" w:sz="0" w:space="0" w:color="auto"/>
        <w:left w:val="none" w:sz="0" w:space="0" w:color="auto"/>
        <w:bottom w:val="none" w:sz="0" w:space="0" w:color="auto"/>
        <w:right w:val="none" w:sz="0" w:space="0" w:color="auto"/>
      </w:divBdr>
    </w:div>
    <w:div w:id="957175190">
      <w:bodyDiv w:val="1"/>
      <w:marLeft w:val="0"/>
      <w:marRight w:val="0"/>
      <w:marTop w:val="0"/>
      <w:marBottom w:val="0"/>
      <w:divBdr>
        <w:top w:val="none" w:sz="0" w:space="0" w:color="auto"/>
        <w:left w:val="none" w:sz="0" w:space="0" w:color="auto"/>
        <w:bottom w:val="none" w:sz="0" w:space="0" w:color="auto"/>
        <w:right w:val="none" w:sz="0" w:space="0" w:color="auto"/>
      </w:divBdr>
    </w:div>
    <w:div w:id="969556648">
      <w:bodyDiv w:val="1"/>
      <w:marLeft w:val="0"/>
      <w:marRight w:val="0"/>
      <w:marTop w:val="0"/>
      <w:marBottom w:val="0"/>
      <w:divBdr>
        <w:top w:val="none" w:sz="0" w:space="0" w:color="auto"/>
        <w:left w:val="none" w:sz="0" w:space="0" w:color="auto"/>
        <w:bottom w:val="none" w:sz="0" w:space="0" w:color="auto"/>
        <w:right w:val="none" w:sz="0" w:space="0" w:color="auto"/>
      </w:divBdr>
    </w:div>
    <w:div w:id="1019701130">
      <w:bodyDiv w:val="1"/>
      <w:marLeft w:val="0"/>
      <w:marRight w:val="0"/>
      <w:marTop w:val="0"/>
      <w:marBottom w:val="0"/>
      <w:divBdr>
        <w:top w:val="none" w:sz="0" w:space="0" w:color="auto"/>
        <w:left w:val="none" w:sz="0" w:space="0" w:color="auto"/>
        <w:bottom w:val="none" w:sz="0" w:space="0" w:color="auto"/>
        <w:right w:val="none" w:sz="0" w:space="0" w:color="auto"/>
      </w:divBdr>
    </w:div>
    <w:div w:id="1075977209">
      <w:bodyDiv w:val="1"/>
      <w:marLeft w:val="0"/>
      <w:marRight w:val="0"/>
      <w:marTop w:val="0"/>
      <w:marBottom w:val="0"/>
      <w:divBdr>
        <w:top w:val="none" w:sz="0" w:space="0" w:color="auto"/>
        <w:left w:val="none" w:sz="0" w:space="0" w:color="auto"/>
        <w:bottom w:val="none" w:sz="0" w:space="0" w:color="auto"/>
        <w:right w:val="none" w:sz="0" w:space="0" w:color="auto"/>
      </w:divBdr>
    </w:div>
    <w:div w:id="1114792770">
      <w:bodyDiv w:val="1"/>
      <w:marLeft w:val="0"/>
      <w:marRight w:val="0"/>
      <w:marTop w:val="0"/>
      <w:marBottom w:val="0"/>
      <w:divBdr>
        <w:top w:val="none" w:sz="0" w:space="0" w:color="auto"/>
        <w:left w:val="none" w:sz="0" w:space="0" w:color="auto"/>
        <w:bottom w:val="none" w:sz="0" w:space="0" w:color="auto"/>
        <w:right w:val="none" w:sz="0" w:space="0" w:color="auto"/>
      </w:divBdr>
    </w:div>
    <w:div w:id="1161773119">
      <w:bodyDiv w:val="1"/>
      <w:marLeft w:val="0"/>
      <w:marRight w:val="0"/>
      <w:marTop w:val="0"/>
      <w:marBottom w:val="0"/>
      <w:divBdr>
        <w:top w:val="none" w:sz="0" w:space="0" w:color="auto"/>
        <w:left w:val="none" w:sz="0" w:space="0" w:color="auto"/>
        <w:bottom w:val="none" w:sz="0" w:space="0" w:color="auto"/>
        <w:right w:val="none" w:sz="0" w:space="0" w:color="auto"/>
      </w:divBdr>
    </w:div>
    <w:div w:id="1164011167">
      <w:bodyDiv w:val="1"/>
      <w:marLeft w:val="0"/>
      <w:marRight w:val="0"/>
      <w:marTop w:val="0"/>
      <w:marBottom w:val="0"/>
      <w:divBdr>
        <w:top w:val="none" w:sz="0" w:space="0" w:color="auto"/>
        <w:left w:val="none" w:sz="0" w:space="0" w:color="auto"/>
        <w:bottom w:val="none" w:sz="0" w:space="0" w:color="auto"/>
        <w:right w:val="none" w:sz="0" w:space="0" w:color="auto"/>
      </w:divBdr>
    </w:div>
    <w:div w:id="1223523860">
      <w:bodyDiv w:val="1"/>
      <w:marLeft w:val="0"/>
      <w:marRight w:val="0"/>
      <w:marTop w:val="0"/>
      <w:marBottom w:val="0"/>
      <w:divBdr>
        <w:top w:val="none" w:sz="0" w:space="0" w:color="auto"/>
        <w:left w:val="none" w:sz="0" w:space="0" w:color="auto"/>
        <w:bottom w:val="none" w:sz="0" w:space="0" w:color="auto"/>
        <w:right w:val="none" w:sz="0" w:space="0" w:color="auto"/>
      </w:divBdr>
    </w:div>
    <w:div w:id="1240016009">
      <w:bodyDiv w:val="1"/>
      <w:marLeft w:val="0"/>
      <w:marRight w:val="0"/>
      <w:marTop w:val="0"/>
      <w:marBottom w:val="0"/>
      <w:divBdr>
        <w:top w:val="none" w:sz="0" w:space="0" w:color="auto"/>
        <w:left w:val="none" w:sz="0" w:space="0" w:color="auto"/>
        <w:bottom w:val="none" w:sz="0" w:space="0" w:color="auto"/>
        <w:right w:val="none" w:sz="0" w:space="0" w:color="auto"/>
      </w:divBdr>
    </w:div>
    <w:div w:id="1249853795">
      <w:bodyDiv w:val="1"/>
      <w:marLeft w:val="0"/>
      <w:marRight w:val="0"/>
      <w:marTop w:val="0"/>
      <w:marBottom w:val="0"/>
      <w:divBdr>
        <w:top w:val="none" w:sz="0" w:space="0" w:color="auto"/>
        <w:left w:val="none" w:sz="0" w:space="0" w:color="auto"/>
        <w:bottom w:val="none" w:sz="0" w:space="0" w:color="auto"/>
        <w:right w:val="none" w:sz="0" w:space="0" w:color="auto"/>
      </w:divBdr>
      <w:divsChild>
        <w:div w:id="1644189444">
          <w:marLeft w:val="0"/>
          <w:marRight w:val="0"/>
          <w:marTop w:val="0"/>
          <w:marBottom w:val="0"/>
          <w:divBdr>
            <w:top w:val="none" w:sz="0" w:space="0" w:color="auto"/>
            <w:left w:val="none" w:sz="0" w:space="0" w:color="auto"/>
            <w:bottom w:val="none" w:sz="0" w:space="0" w:color="auto"/>
            <w:right w:val="none" w:sz="0" w:space="0" w:color="auto"/>
          </w:divBdr>
        </w:div>
        <w:div w:id="1166440121">
          <w:marLeft w:val="0"/>
          <w:marRight w:val="0"/>
          <w:marTop w:val="0"/>
          <w:marBottom w:val="0"/>
          <w:divBdr>
            <w:top w:val="none" w:sz="0" w:space="0" w:color="auto"/>
            <w:left w:val="none" w:sz="0" w:space="0" w:color="auto"/>
            <w:bottom w:val="none" w:sz="0" w:space="0" w:color="auto"/>
            <w:right w:val="none" w:sz="0" w:space="0" w:color="auto"/>
          </w:divBdr>
        </w:div>
        <w:div w:id="908618640">
          <w:marLeft w:val="0"/>
          <w:marRight w:val="0"/>
          <w:marTop w:val="0"/>
          <w:marBottom w:val="0"/>
          <w:divBdr>
            <w:top w:val="none" w:sz="0" w:space="0" w:color="auto"/>
            <w:left w:val="none" w:sz="0" w:space="0" w:color="auto"/>
            <w:bottom w:val="none" w:sz="0" w:space="0" w:color="auto"/>
            <w:right w:val="none" w:sz="0" w:space="0" w:color="auto"/>
          </w:divBdr>
        </w:div>
        <w:div w:id="550583169">
          <w:marLeft w:val="0"/>
          <w:marRight w:val="0"/>
          <w:marTop w:val="0"/>
          <w:marBottom w:val="0"/>
          <w:divBdr>
            <w:top w:val="none" w:sz="0" w:space="0" w:color="auto"/>
            <w:left w:val="none" w:sz="0" w:space="0" w:color="auto"/>
            <w:bottom w:val="none" w:sz="0" w:space="0" w:color="auto"/>
            <w:right w:val="none" w:sz="0" w:space="0" w:color="auto"/>
          </w:divBdr>
        </w:div>
        <w:div w:id="1458917116">
          <w:marLeft w:val="0"/>
          <w:marRight w:val="0"/>
          <w:marTop w:val="0"/>
          <w:marBottom w:val="0"/>
          <w:divBdr>
            <w:top w:val="none" w:sz="0" w:space="0" w:color="auto"/>
            <w:left w:val="none" w:sz="0" w:space="0" w:color="auto"/>
            <w:bottom w:val="none" w:sz="0" w:space="0" w:color="auto"/>
            <w:right w:val="none" w:sz="0" w:space="0" w:color="auto"/>
          </w:divBdr>
        </w:div>
        <w:div w:id="1049112027">
          <w:marLeft w:val="0"/>
          <w:marRight w:val="0"/>
          <w:marTop w:val="0"/>
          <w:marBottom w:val="0"/>
          <w:divBdr>
            <w:top w:val="none" w:sz="0" w:space="0" w:color="auto"/>
            <w:left w:val="none" w:sz="0" w:space="0" w:color="auto"/>
            <w:bottom w:val="none" w:sz="0" w:space="0" w:color="auto"/>
            <w:right w:val="none" w:sz="0" w:space="0" w:color="auto"/>
          </w:divBdr>
        </w:div>
        <w:div w:id="1057969280">
          <w:marLeft w:val="0"/>
          <w:marRight w:val="0"/>
          <w:marTop w:val="0"/>
          <w:marBottom w:val="0"/>
          <w:divBdr>
            <w:top w:val="none" w:sz="0" w:space="0" w:color="auto"/>
            <w:left w:val="none" w:sz="0" w:space="0" w:color="auto"/>
            <w:bottom w:val="none" w:sz="0" w:space="0" w:color="auto"/>
            <w:right w:val="none" w:sz="0" w:space="0" w:color="auto"/>
          </w:divBdr>
        </w:div>
        <w:div w:id="1427994024">
          <w:marLeft w:val="0"/>
          <w:marRight w:val="0"/>
          <w:marTop w:val="0"/>
          <w:marBottom w:val="0"/>
          <w:divBdr>
            <w:top w:val="none" w:sz="0" w:space="0" w:color="auto"/>
            <w:left w:val="none" w:sz="0" w:space="0" w:color="auto"/>
            <w:bottom w:val="none" w:sz="0" w:space="0" w:color="auto"/>
            <w:right w:val="none" w:sz="0" w:space="0" w:color="auto"/>
          </w:divBdr>
        </w:div>
        <w:div w:id="1530490643">
          <w:marLeft w:val="0"/>
          <w:marRight w:val="0"/>
          <w:marTop w:val="0"/>
          <w:marBottom w:val="0"/>
          <w:divBdr>
            <w:top w:val="none" w:sz="0" w:space="0" w:color="auto"/>
            <w:left w:val="none" w:sz="0" w:space="0" w:color="auto"/>
            <w:bottom w:val="none" w:sz="0" w:space="0" w:color="auto"/>
            <w:right w:val="none" w:sz="0" w:space="0" w:color="auto"/>
          </w:divBdr>
        </w:div>
      </w:divsChild>
    </w:div>
    <w:div w:id="1327906101">
      <w:bodyDiv w:val="1"/>
      <w:marLeft w:val="0"/>
      <w:marRight w:val="0"/>
      <w:marTop w:val="0"/>
      <w:marBottom w:val="0"/>
      <w:divBdr>
        <w:top w:val="none" w:sz="0" w:space="0" w:color="auto"/>
        <w:left w:val="none" w:sz="0" w:space="0" w:color="auto"/>
        <w:bottom w:val="none" w:sz="0" w:space="0" w:color="auto"/>
        <w:right w:val="none" w:sz="0" w:space="0" w:color="auto"/>
      </w:divBdr>
    </w:div>
    <w:div w:id="1375814548">
      <w:bodyDiv w:val="1"/>
      <w:marLeft w:val="0"/>
      <w:marRight w:val="0"/>
      <w:marTop w:val="0"/>
      <w:marBottom w:val="0"/>
      <w:divBdr>
        <w:top w:val="none" w:sz="0" w:space="0" w:color="auto"/>
        <w:left w:val="none" w:sz="0" w:space="0" w:color="auto"/>
        <w:bottom w:val="none" w:sz="0" w:space="0" w:color="auto"/>
        <w:right w:val="none" w:sz="0" w:space="0" w:color="auto"/>
      </w:divBdr>
    </w:div>
    <w:div w:id="1381900452">
      <w:bodyDiv w:val="1"/>
      <w:marLeft w:val="0"/>
      <w:marRight w:val="0"/>
      <w:marTop w:val="0"/>
      <w:marBottom w:val="0"/>
      <w:divBdr>
        <w:top w:val="none" w:sz="0" w:space="0" w:color="auto"/>
        <w:left w:val="none" w:sz="0" w:space="0" w:color="auto"/>
        <w:bottom w:val="none" w:sz="0" w:space="0" w:color="auto"/>
        <w:right w:val="none" w:sz="0" w:space="0" w:color="auto"/>
      </w:divBdr>
    </w:div>
    <w:div w:id="1411465738">
      <w:bodyDiv w:val="1"/>
      <w:marLeft w:val="0"/>
      <w:marRight w:val="0"/>
      <w:marTop w:val="0"/>
      <w:marBottom w:val="0"/>
      <w:divBdr>
        <w:top w:val="none" w:sz="0" w:space="0" w:color="auto"/>
        <w:left w:val="none" w:sz="0" w:space="0" w:color="auto"/>
        <w:bottom w:val="none" w:sz="0" w:space="0" w:color="auto"/>
        <w:right w:val="none" w:sz="0" w:space="0" w:color="auto"/>
      </w:divBdr>
    </w:div>
    <w:div w:id="1525629869">
      <w:bodyDiv w:val="1"/>
      <w:marLeft w:val="0"/>
      <w:marRight w:val="0"/>
      <w:marTop w:val="0"/>
      <w:marBottom w:val="0"/>
      <w:divBdr>
        <w:top w:val="none" w:sz="0" w:space="0" w:color="auto"/>
        <w:left w:val="none" w:sz="0" w:space="0" w:color="auto"/>
        <w:bottom w:val="none" w:sz="0" w:space="0" w:color="auto"/>
        <w:right w:val="none" w:sz="0" w:space="0" w:color="auto"/>
      </w:divBdr>
      <w:divsChild>
        <w:div w:id="132646560">
          <w:marLeft w:val="0"/>
          <w:marRight w:val="0"/>
          <w:marTop w:val="0"/>
          <w:marBottom w:val="0"/>
          <w:divBdr>
            <w:top w:val="none" w:sz="0" w:space="0" w:color="auto"/>
            <w:left w:val="none" w:sz="0" w:space="0" w:color="auto"/>
            <w:bottom w:val="none" w:sz="0" w:space="0" w:color="auto"/>
            <w:right w:val="none" w:sz="0" w:space="0" w:color="auto"/>
          </w:divBdr>
        </w:div>
        <w:div w:id="940532132">
          <w:marLeft w:val="0"/>
          <w:marRight w:val="0"/>
          <w:marTop w:val="0"/>
          <w:marBottom w:val="0"/>
          <w:divBdr>
            <w:top w:val="none" w:sz="0" w:space="0" w:color="auto"/>
            <w:left w:val="none" w:sz="0" w:space="0" w:color="auto"/>
            <w:bottom w:val="none" w:sz="0" w:space="0" w:color="auto"/>
            <w:right w:val="none" w:sz="0" w:space="0" w:color="auto"/>
          </w:divBdr>
        </w:div>
        <w:div w:id="1676759557">
          <w:marLeft w:val="0"/>
          <w:marRight w:val="0"/>
          <w:marTop w:val="0"/>
          <w:marBottom w:val="0"/>
          <w:divBdr>
            <w:top w:val="none" w:sz="0" w:space="0" w:color="auto"/>
            <w:left w:val="none" w:sz="0" w:space="0" w:color="auto"/>
            <w:bottom w:val="none" w:sz="0" w:space="0" w:color="auto"/>
            <w:right w:val="none" w:sz="0" w:space="0" w:color="auto"/>
          </w:divBdr>
        </w:div>
        <w:div w:id="424302043">
          <w:marLeft w:val="0"/>
          <w:marRight w:val="0"/>
          <w:marTop w:val="0"/>
          <w:marBottom w:val="0"/>
          <w:divBdr>
            <w:top w:val="none" w:sz="0" w:space="0" w:color="auto"/>
            <w:left w:val="none" w:sz="0" w:space="0" w:color="auto"/>
            <w:bottom w:val="none" w:sz="0" w:space="0" w:color="auto"/>
            <w:right w:val="none" w:sz="0" w:space="0" w:color="auto"/>
          </w:divBdr>
        </w:div>
        <w:div w:id="1570116101">
          <w:marLeft w:val="0"/>
          <w:marRight w:val="0"/>
          <w:marTop w:val="0"/>
          <w:marBottom w:val="0"/>
          <w:divBdr>
            <w:top w:val="none" w:sz="0" w:space="0" w:color="auto"/>
            <w:left w:val="none" w:sz="0" w:space="0" w:color="auto"/>
            <w:bottom w:val="none" w:sz="0" w:space="0" w:color="auto"/>
            <w:right w:val="none" w:sz="0" w:space="0" w:color="auto"/>
          </w:divBdr>
        </w:div>
        <w:div w:id="1274631020">
          <w:marLeft w:val="0"/>
          <w:marRight w:val="0"/>
          <w:marTop w:val="0"/>
          <w:marBottom w:val="0"/>
          <w:divBdr>
            <w:top w:val="none" w:sz="0" w:space="0" w:color="auto"/>
            <w:left w:val="none" w:sz="0" w:space="0" w:color="auto"/>
            <w:bottom w:val="none" w:sz="0" w:space="0" w:color="auto"/>
            <w:right w:val="none" w:sz="0" w:space="0" w:color="auto"/>
          </w:divBdr>
        </w:div>
        <w:div w:id="1685131902">
          <w:marLeft w:val="0"/>
          <w:marRight w:val="0"/>
          <w:marTop w:val="0"/>
          <w:marBottom w:val="0"/>
          <w:divBdr>
            <w:top w:val="none" w:sz="0" w:space="0" w:color="auto"/>
            <w:left w:val="none" w:sz="0" w:space="0" w:color="auto"/>
            <w:bottom w:val="none" w:sz="0" w:space="0" w:color="auto"/>
            <w:right w:val="none" w:sz="0" w:space="0" w:color="auto"/>
          </w:divBdr>
        </w:div>
        <w:div w:id="1749301185">
          <w:marLeft w:val="0"/>
          <w:marRight w:val="0"/>
          <w:marTop w:val="0"/>
          <w:marBottom w:val="0"/>
          <w:divBdr>
            <w:top w:val="none" w:sz="0" w:space="0" w:color="auto"/>
            <w:left w:val="none" w:sz="0" w:space="0" w:color="auto"/>
            <w:bottom w:val="none" w:sz="0" w:space="0" w:color="auto"/>
            <w:right w:val="none" w:sz="0" w:space="0" w:color="auto"/>
          </w:divBdr>
        </w:div>
        <w:div w:id="87505766">
          <w:marLeft w:val="0"/>
          <w:marRight w:val="0"/>
          <w:marTop w:val="0"/>
          <w:marBottom w:val="0"/>
          <w:divBdr>
            <w:top w:val="none" w:sz="0" w:space="0" w:color="auto"/>
            <w:left w:val="none" w:sz="0" w:space="0" w:color="auto"/>
            <w:bottom w:val="none" w:sz="0" w:space="0" w:color="auto"/>
            <w:right w:val="none" w:sz="0" w:space="0" w:color="auto"/>
          </w:divBdr>
        </w:div>
      </w:divsChild>
    </w:div>
    <w:div w:id="1753311750">
      <w:bodyDiv w:val="1"/>
      <w:marLeft w:val="0"/>
      <w:marRight w:val="0"/>
      <w:marTop w:val="0"/>
      <w:marBottom w:val="0"/>
      <w:divBdr>
        <w:top w:val="none" w:sz="0" w:space="0" w:color="auto"/>
        <w:left w:val="none" w:sz="0" w:space="0" w:color="auto"/>
        <w:bottom w:val="none" w:sz="0" w:space="0" w:color="auto"/>
        <w:right w:val="none" w:sz="0" w:space="0" w:color="auto"/>
      </w:divBdr>
    </w:div>
    <w:div w:id="1762141273">
      <w:bodyDiv w:val="1"/>
      <w:marLeft w:val="0"/>
      <w:marRight w:val="0"/>
      <w:marTop w:val="0"/>
      <w:marBottom w:val="0"/>
      <w:divBdr>
        <w:top w:val="none" w:sz="0" w:space="0" w:color="auto"/>
        <w:left w:val="none" w:sz="0" w:space="0" w:color="auto"/>
        <w:bottom w:val="none" w:sz="0" w:space="0" w:color="auto"/>
        <w:right w:val="none" w:sz="0" w:space="0" w:color="auto"/>
      </w:divBdr>
    </w:div>
    <w:div w:id="1861040282">
      <w:bodyDiv w:val="1"/>
      <w:marLeft w:val="0"/>
      <w:marRight w:val="0"/>
      <w:marTop w:val="0"/>
      <w:marBottom w:val="0"/>
      <w:divBdr>
        <w:top w:val="none" w:sz="0" w:space="0" w:color="auto"/>
        <w:left w:val="none" w:sz="0" w:space="0" w:color="auto"/>
        <w:bottom w:val="none" w:sz="0" w:space="0" w:color="auto"/>
        <w:right w:val="none" w:sz="0" w:space="0" w:color="auto"/>
      </w:divBdr>
      <w:divsChild>
        <w:div w:id="989791847">
          <w:marLeft w:val="0"/>
          <w:marRight w:val="0"/>
          <w:marTop w:val="0"/>
          <w:marBottom w:val="0"/>
          <w:divBdr>
            <w:top w:val="none" w:sz="0" w:space="0" w:color="auto"/>
            <w:left w:val="none" w:sz="0" w:space="0" w:color="auto"/>
            <w:bottom w:val="none" w:sz="0" w:space="0" w:color="auto"/>
            <w:right w:val="none" w:sz="0" w:space="0" w:color="auto"/>
          </w:divBdr>
        </w:div>
        <w:div w:id="910502318">
          <w:marLeft w:val="0"/>
          <w:marRight w:val="0"/>
          <w:marTop w:val="0"/>
          <w:marBottom w:val="0"/>
          <w:divBdr>
            <w:top w:val="none" w:sz="0" w:space="0" w:color="auto"/>
            <w:left w:val="none" w:sz="0" w:space="0" w:color="auto"/>
            <w:bottom w:val="none" w:sz="0" w:space="0" w:color="auto"/>
            <w:right w:val="none" w:sz="0" w:space="0" w:color="auto"/>
          </w:divBdr>
        </w:div>
        <w:div w:id="450636459">
          <w:marLeft w:val="0"/>
          <w:marRight w:val="0"/>
          <w:marTop w:val="0"/>
          <w:marBottom w:val="0"/>
          <w:divBdr>
            <w:top w:val="none" w:sz="0" w:space="0" w:color="auto"/>
            <w:left w:val="none" w:sz="0" w:space="0" w:color="auto"/>
            <w:bottom w:val="none" w:sz="0" w:space="0" w:color="auto"/>
            <w:right w:val="none" w:sz="0" w:space="0" w:color="auto"/>
          </w:divBdr>
        </w:div>
        <w:div w:id="1846439855">
          <w:marLeft w:val="0"/>
          <w:marRight w:val="0"/>
          <w:marTop w:val="0"/>
          <w:marBottom w:val="0"/>
          <w:divBdr>
            <w:top w:val="none" w:sz="0" w:space="0" w:color="auto"/>
            <w:left w:val="none" w:sz="0" w:space="0" w:color="auto"/>
            <w:bottom w:val="none" w:sz="0" w:space="0" w:color="auto"/>
            <w:right w:val="none" w:sz="0" w:space="0" w:color="auto"/>
          </w:divBdr>
        </w:div>
        <w:div w:id="1041710560">
          <w:marLeft w:val="0"/>
          <w:marRight w:val="0"/>
          <w:marTop w:val="0"/>
          <w:marBottom w:val="0"/>
          <w:divBdr>
            <w:top w:val="none" w:sz="0" w:space="0" w:color="auto"/>
            <w:left w:val="none" w:sz="0" w:space="0" w:color="auto"/>
            <w:bottom w:val="none" w:sz="0" w:space="0" w:color="auto"/>
            <w:right w:val="none" w:sz="0" w:space="0" w:color="auto"/>
          </w:divBdr>
        </w:div>
        <w:div w:id="1113594963">
          <w:marLeft w:val="0"/>
          <w:marRight w:val="0"/>
          <w:marTop w:val="0"/>
          <w:marBottom w:val="0"/>
          <w:divBdr>
            <w:top w:val="none" w:sz="0" w:space="0" w:color="auto"/>
            <w:left w:val="none" w:sz="0" w:space="0" w:color="auto"/>
            <w:bottom w:val="none" w:sz="0" w:space="0" w:color="auto"/>
            <w:right w:val="none" w:sz="0" w:space="0" w:color="auto"/>
          </w:divBdr>
        </w:div>
        <w:div w:id="784226855">
          <w:marLeft w:val="0"/>
          <w:marRight w:val="0"/>
          <w:marTop w:val="0"/>
          <w:marBottom w:val="0"/>
          <w:divBdr>
            <w:top w:val="none" w:sz="0" w:space="0" w:color="auto"/>
            <w:left w:val="none" w:sz="0" w:space="0" w:color="auto"/>
            <w:bottom w:val="none" w:sz="0" w:space="0" w:color="auto"/>
            <w:right w:val="none" w:sz="0" w:space="0" w:color="auto"/>
          </w:divBdr>
        </w:div>
        <w:div w:id="798379257">
          <w:marLeft w:val="0"/>
          <w:marRight w:val="0"/>
          <w:marTop w:val="0"/>
          <w:marBottom w:val="0"/>
          <w:divBdr>
            <w:top w:val="none" w:sz="0" w:space="0" w:color="auto"/>
            <w:left w:val="none" w:sz="0" w:space="0" w:color="auto"/>
            <w:bottom w:val="none" w:sz="0" w:space="0" w:color="auto"/>
            <w:right w:val="none" w:sz="0" w:space="0" w:color="auto"/>
          </w:divBdr>
        </w:div>
        <w:div w:id="1973343">
          <w:marLeft w:val="0"/>
          <w:marRight w:val="0"/>
          <w:marTop w:val="0"/>
          <w:marBottom w:val="0"/>
          <w:divBdr>
            <w:top w:val="none" w:sz="0" w:space="0" w:color="auto"/>
            <w:left w:val="none" w:sz="0" w:space="0" w:color="auto"/>
            <w:bottom w:val="none" w:sz="0" w:space="0" w:color="auto"/>
            <w:right w:val="none" w:sz="0" w:space="0" w:color="auto"/>
          </w:divBdr>
        </w:div>
      </w:divsChild>
    </w:div>
    <w:div w:id="1938365054">
      <w:bodyDiv w:val="1"/>
      <w:marLeft w:val="0"/>
      <w:marRight w:val="0"/>
      <w:marTop w:val="0"/>
      <w:marBottom w:val="0"/>
      <w:divBdr>
        <w:top w:val="none" w:sz="0" w:space="0" w:color="auto"/>
        <w:left w:val="none" w:sz="0" w:space="0" w:color="auto"/>
        <w:bottom w:val="none" w:sz="0" w:space="0" w:color="auto"/>
        <w:right w:val="none" w:sz="0" w:space="0" w:color="auto"/>
      </w:divBdr>
    </w:div>
    <w:div w:id="1999186898">
      <w:bodyDiv w:val="1"/>
      <w:marLeft w:val="0"/>
      <w:marRight w:val="0"/>
      <w:marTop w:val="0"/>
      <w:marBottom w:val="0"/>
      <w:divBdr>
        <w:top w:val="none" w:sz="0" w:space="0" w:color="auto"/>
        <w:left w:val="none" w:sz="0" w:space="0" w:color="auto"/>
        <w:bottom w:val="none" w:sz="0" w:space="0" w:color="auto"/>
        <w:right w:val="none" w:sz="0" w:space="0" w:color="auto"/>
      </w:divBdr>
      <w:divsChild>
        <w:div w:id="542792250">
          <w:marLeft w:val="0"/>
          <w:marRight w:val="0"/>
          <w:marTop w:val="0"/>
          <w:marBottom w:val="0"/>
          <w:divBdr>
            <w:top w:val="none" w:sz="0" w:space="0" w:color="auto"/>
            <w:left w:val="none" w:sz="0" w:space="0" w:color="auto"/>
            <w:bottom w:val="none" w:sz="0" w:space="0" w:color="auto"/>
            <w:right w:val="none" w:sz="0" w:space="0" w:color="auto"/>
          </w:divBdr>
        </w:div>
        <w:div w:id="91360483">
          <w:marLeft w:val="0"/>
          <w:marRight w:val="0"/>
          <w:marTop w:val="0"/>
          <w:marBottom w:val="0"/>
          <w:divBdr>
            <w:top w:val="none" w:sz="0" w:space="0" w:color="auto"/>
            <w:left w:val="none" w:sz="0" w:space="0" w:color="auto"/>
            <w:bottom w:val="none" w:sz="0" w:space="0" w:color="auto"/>
            <w:right w:val="none" w:sz="0" w:space="0" w:color="auto"/>
          </w:divBdr>
        </w:div>
        <w:div w:id="1658918023">
          <w:marLeft w:val="0"/>
          <w:marRight w:val="0"/>
          <w:marTop w:val="0"/>
          <w:marBottom w:val="0"/>
          <w:divBdr>
            <w:top w:val="none" w:sz="0" w:space="0" w:color="auto"/>
            <w:left w:val="none" w:sz="0" w:space="0" w:color="auto"/>
            <w:bottom w:val="none" w:sz="0" w:space="0" w:color="auto"/>
            <w:right w:val="none" w:sz="0" w:space="0" w:color="auto"/>
          </w:divBdr>
        </w:div>
        <w:div w:id="391083396">
          <w:marLeft w:val="0"/>
          <w:marRight w:val="0"/>
          <w:marTop w:val="0"/>
          <w:marBottom w:val="0"/>
          <w:divBdr>
            <w:top w:val="none" w:sz="0" w:space="0" w:color="auto"/>
            <w:left w:val="none" w:sz="0" w:space="0" w:color="auto"/>
            <w:bottom w:val="none" w:sz="0" w:space="0" w:color="auto"/>
            <w:right w:val="none" w:sz="0" w:space="0" w:color="auto"/>
          </w:divBdr>
        </w:div>
        <w:div w:id="1943798212">
          <w:marLeft w:val="0"/>
          <w:marRight w:val="0"/>
          <w:marTop w:val="0"/>
          <w:marBottom w:val="0"/>
          <w:divBdr>
            <w:top w:val="none" w:sz="0" w:space="0" w:color="auto"/>
            <w:left w:val="none" w:sz="0" w:space="0" w:color="auto"/>
            <w:bottom w:val="none" w:sz="0" w:space="0" w:color="auto"/>
            <w:right w:val="none" w:sz="0" w:space="0" w:color="auto"/>
          </w:divBdr>
        </w:div>
        <w:div w:id="1307979142">
          <w:marLeft w:val="0"/>
          <w:marRight w:val="0"/>
          <w:marTop w:val="0"/>
          <w:marBottom w:val="0"/>
          <w:divBdr>
            <w:top w:val="none" w:sz="0" w:space="0" w:color="auto"/>
            <w:left w:val="none" w:sz="0" w:space="0" w:color="auto"/>
            <w:bottom w:val="none" w:sz="0" w:space="0" w:color="auto"/>
            <w:right w:val="none" w:sz="0" w:space="0" w:color="auto"/>
          </w:divBdr>
        </w:div>
        <w:div w:id="18746187">
          <w:marLeft w:val="0"/>
          <w:marRight w:val="0"/>
          <w:marTop w:val="0"/>
          <w:marBottom w:val="0"/>
          <w:divBdr>
            <w:top w:val="none" w:sz="0" w:space="0" w:color="auto"/>
            <w:left w:val="none" w:sz="0" w:space="0" w:color="auto"/>
            <w:bottom w:val="none" w:sz="0" w:space="0" w:color="auto"/>
            <w:right w:val="none" w:sz="0" w:space="0" w:color="auto"/>
          </w:divBdr>
        </w:div>
        <w:div w:id="1327784686">
          <w:marLeft w:val="0"/>
          <w:marRight w:val="0"/>
          <w:marTop w:val="0"/>
          <w:marBottom w:val="0"/>
          <w:divBdr>
            <w:top w:val="none" w:sz="0" w:space="0" w:color="auto"/>
            <w:left w:val="none" w:sz="0" w:space="0" w:color="auto"/>
            <w:bottom w:val="none" w:sz="0" w:space="0" w:color="auto"/>
            <w:right w:val="none" w:sz="0" w:space="0" w:color="auto"/>
          </w:divBdr>
        </w:div>
        <w:div w:id="1769930915">
          <w:marLeft w:val="0"/>
          <w:marRight w:val="0"/>
          <w:marTop w:val="0"/>
          <w:marBottom w:val="0"/>
          <w:divBdr>
            <w:top w:val="none" w:sz="0" w:space="0" w:color="auto"/>
            <w:left w:val="none" w:sz="0" w:space="0" w:color="auto"/>
            <w:bottom w:val="none" w:sz="0" w:space="0" w:color="auto"/>
            <w:right w:val="none" w:sz="0" w:space="0" w:color="auto"/>
          </w:divBdr>
        </w:div>
      </w:divsChild>
    </w:div>
    <w:div w:id="2081905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eli/reg/2015/1222/oj/eng" TargetMode="External"/><Relationship Id="rId2" Type="http://schemas.openxmlformats.org/officeDocument/2006/relationships/hyperlink" Target="https://eur-lex.europa.eu/legal-content/en/TXT/?uri=CELEX%3A32019R0943" TargetMode="External"/><Relationship Id="rId1" Type="http://schemas.openxmlformats.org/officeDocument/2006/relationships/hyperlink" Target="https://eur-lex.europa.eu/legal-content/EN/TXT/PDF/?uri=CELEX:32009R071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grimaldilex.sharepoint.com/sites/Communication/Format/GA_Client-Ale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D57FEB33FB1541458AEA821564DA82B7" ma:contentTypeVersion="4" ma:contentTypeDescription="Creare un nuovo documento." ma:contentTypeScope="" ma:versionID="c5d09aa68534db2ce14685ddac66fa01">
  <xsd:schema xmlns:xsd="http://www.w3.org/2001/XMLSchema" xmlns:xs="http://www.w3.org/2001/XMLSchema" xmlns:p="http://schemas.microsoft.com/office/2006/metadata/properties" xmlns:ns2="2d430819-328c-4f8f-afb8-7e1e544842f2" targetNamespace="http://schemas.microsoft.com/office/2006/metadata/properties" ma:root="true" ma:fieldsID="0c0e237adcbec345dc08c3957f8ec91e" ns2:_="">
    <xsd:import namespace="2d430819-328c-4f8f-afb8-7e1e544842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30819-328c-4f8f-afb8-7e1e54484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2456FE-750F-4250-96AA-EBDBB4D88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30819-328c-4f8f-afb8-7e1e54484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4E0500-9B50-42C3-A3D1-65F89894F17E}">
  <ds:schemaRefs>
    <ds:schemaRef ds:uri="http://schemas.openxmlformats.org/officeDocument/2006/bibliography"/>
  </ds:schemaRefs>
</ds:datastoreItem>
</file>

<file path=customXml/itemProps3.xml><?xml version="1.0" encoding="utf-8"?>
<ds:datastoreItem xmlns:ds="http://schemas.openxmlformats.org/officeDocument/2006/customXml" ds:itemID="{99EF88D6-846F-47E6-A2D5-4EEF2F8344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0C5FAA-B5CA-422A-8B50-61538688BE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GA_Client-Alert</Template>
  <TotalTime>51</TotalTime>
  <Pages>6</Pages>
  <Words>1308</Words>
  <Characters>7457</Characters>
  <Application>Microsoft Office Word</Application>
  <DocSecurity>0</DocSecurity>
  <Lines>62</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Ardemagni, Gaia</dc:creator>
  <cp:lastModifiedBy>Grimaldi Alliance</cp:lastModifiedBy>
  <cp:revision>42</cp:revision>
  <dcterms:created xsi:type="dcterms:W3CDTF">2025-12-17T19:15:00Z</dcterms:created>
  <dcterms:modified xsi:type="dcterms:W3CDTF">2025-12-18T10:30:00Z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2024-06-13T00:00:00Z</vt:filetime>
  </property>
  <property fmtid="{D5CDD505-2E9C-101B-9397-08002B2CF9AE}" pid="3" name="Creator">
    <vt:lpwstr>Adobe InDesign 19.4 (Macintosh)</vt:lpwstr>
  </property>
  <property fmtid="{D5CDD505-2E9C-101B-9397-08002B2CF9AE}" pid="4" name="LastSaved">
    <vt:filetime>2024-06-13T00:00:00Z</vt:filetime>
  </property>
  <property fmtid="{D5CDD505-2E9C-101B-9397-08002B2CF9AE}" pid="5" name="Producer">
    <vt:lpwstr>Adobe PDF Library 17.0</vt:lpwstr>
  </property>
  <property fmtid="{D5CDD505-2E9C-101B-9397-08002B2CF9AE}" pid="6" name="ContentTypeId">
    <vt:lpwstr>0x010100D57FEB33FB1541458AEA821564DA82B7</vt:lpwstr>
  </property>
  <property fmtid="{D5CDD505-2E9C-101B-9397-08002B2CF9AE}" pid="7" name="MediaServiceImageTags">
    <vt:lpwstr/>
  </property>
</Properties>
</file>